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60707896"/>
        <w:docPartObj>
          <w:docPartGallery w:val="Cover Pages"/>
          <w:docPartUnique/>
        </w:docPartObj>
      </w:sdtPr>
      <w:sdtContent>
        <w:p w14:paraId="1ED0FF95" w14:textId="54A6D557" w:rsidR="00B328BD" w:rsidRDefault="00B328BD" w:rsidP="00B328BD"/>
        <w:p w14:paraId="5BB65D25" w14:textId="77777777" w:rsidR="00A401D5" w:rsidRDefault="00B328BD" w:rsidP="00B328BD">
          <w:pPr>
            <w:spacing w:line="259" w:lineRule="auto"/>
          </w:pPr>
          <w:r>
            <w:rPr>
              <w:noProof/>
            </w:rPr>
            <mc:AlternateContent>
              <mc:Choice Requires="wps">
                <w:drawing>
                  <wp:anchor distT="0" distB="0" distL="114300" distR="114300" simplePos="0" relativeHeight="251660288" behindDoc="0" locked="0" layoutInCell="1" allowOverlap="1" wp14:anchorId="20E390E7" wp14:editId="553AB88C">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207250" cy="91694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207250" cy="916940"/>
                            </a:xfrm>
                            <a:prstGeom prst="rect">
                              <a:avLst/>
                            </a:prstGeom>
                            <a:noFill/>
                            <a:ln w="6350">
                              <a:noFill/>
                            </a:ln>
                            <a:effectLst/>
                          </wps:spPr>
                          <wps:txbx>
                            <w:txbxContent>
                              <w:p w14:paraId="64F6E3F8" w14:textId="77777777" w:rsidR="00B328BD" w:rsidRDefault="00B328BD" w:rsidP="00B328BD">
                                <w:pPr>
                                  <w:pStyle w:val="NoSpacing"/>
                                  <w:jc w:val="right"/>
                                  <w:rPr>
                                    <w:color w:val="595959" w:themeColor="text1" w:themeTint="A6"/>
                                    <w:sz w:val="18"/>
                                    <w:szCs w:val="18"/>
                                  </w:rPr>
                                </w:pPr>
                                <w:r>
                                  <w:rPr>
                                    <w:noProof/>
                                  </w:rPr>
                                  <w:drawing>
                                    <wp:inline distT="0" distB="0" distL="0" distR="0" wp14:anchorId="16023FC2" wp14:editId="6F54AF2B">
                                      <wp:extent cx="2276475" cy="438150"/>
                                      <wp:effectExtent l="0" t="0" r="9525"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438150"/>
                                              </a:xfrm>
                                              <a:prstGeom prst="rect">
                                                <a:avLst/>
                                              </a:prstGeom>
                                              <a:noFill/>
                                              <a:ln>
                                                <a:noFill/>
                                              </a:ln>
                                            </pic:spPr>
                                          </pic:pic>
                                        </a:graphicData>
                                      </a:graphic>
                                    </wp:inline>
                                  </w:drawing>
                                </w:r>
                              </w:p>
                              <w:p w14:paraId="6E949A66" w14:textId="77777777" w:rsidR="00B328BD" w:rsidRDefault="00000000" w:rsidP="00B328BD">
                                <w:pPr>
                                  <w:pStyle w:val="NoSpacing"/>
                                  <w:jc w:val="right"/>
                                  <w:rPr>
                                    <w:color w:val="595959" w:themeColor="text1" w:themeTint="A6"/>
                                    <w:sz w:val="18"/>
                                    <w:szCs w:val="18"/>
                                  </w:rPr>
                                </w:pPr>
                                <w:sdt>
                                  <w:sdtPr>
                                    <w:rPr>
                                      <w:color w:val="595959" w:themeColor="text1" w:themeTint="A6"/>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328BD">
                                      <w:rPr>
                                        <w:color w:val="595959" w:themeColor="text1" w:themeTint="A6"/>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0E390E7" id="_x0000_t202" coordsize="21600,21600" o:spt="202" path="m,l,21600r21600,l21600,xe">
                    <v:stroke joinstyle="miter"/>
                    <v:path gradientshapeok="t" o:connecttype="rect"/>
                  </v:shapetype>
                  <v:shape id="Text Box 152" o:spid="_x0000_s1026" type="#_x0000_t202" style="position:absolute;margin-left:0;margin-top:0;width:567.5pt;height:72.2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" filled="f" stroked="f" strokeweight=".5pt">
                    <v:textbox inset="126pt,0,54pt,0">
                      <w:txbxContent>
                        <w:p w14:paraId="64F6E3F8" w14:textId="77777777" w:rsidR="00B328BD" w:rsidRDefault="00B328BD" w:rsidP="00B328BD">
                          <w:pPr>
                            <w:pStyle w:val="NoSpacing"/>
                            <w:jc w:val="right"/>
                            <w:rPr>
                              <w:color w:val="595959" w:themeColor="text1" w:themeTint="A6"/>
                              <w:sz w:val="18"/>
                              <w:szCs w:val="18"/>
                            </w:rPr>
                          </w:pPr>
                          <w:r>
                            <w:rPr>
                              <w:noProof/>
                            </w:rPr>
                            <w:drawing>
                              <wp:inline distT="0" distB="0" distL="0" distR="0" wp14:anchorId="16023FC2" wp14:editId="6F54AF2B">
                                <wp:extent cx="2276475" cy="438150"/>
                                <wp:effectExtent l="0" t="0" r="9525"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438150"/>
                                        </a:xfrm>
                                        <a:prstGeom prst="rect">
                                          <a:avLst/>
                                        </a:prstGeom>
                                        <a:noFill/>
                                        <a:ln>
                                          <a:noFill/>
                                        </a:ln>
                                      </pic:spPr>
                                    </pic:pic>
                                  </a:graphicData>
                                </a:graphic>
                              </wp:inline>
                            </w:drawing>
                          </w:r>
                        </w:p>
                        <w:p w14:paraId="6E949A66" w14:textId="77777777" w:rsidR="00B328BD" w:rsidRDefault="00000000" w:rsidP="00B328BD">
                          <w:pPr>
                            <w:pStyle w:val="NoSpacing"/>
                            <w:jc w:val="right"/>
                            <w:rPr>
                              <w:color w:val="595959" w:themeColor="text1" w:themeTint="A6"/>
                              <w:sz w:val="18"/>
                              <w:szCs w:val="18"/>
                            </w:rPr>
                          </w:pPr>
                          <w:sdt>
                            <w:sdtPr>
                              <w:rPr>
                                <w:color w:val="595959" w:themeColor="text1" w:themeTint="A6"/>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328BD">
                                <w:rPr>
                                  <w:color w:val="595959" w:themeColor="text1" w:themeTint="A6"/>
                                </w:rPr>
                                <w:t xml:space="preserve">     </w:t>
                              </w:r>
                            </w:sdtContent>
                          </w:sdt>
                        </w:p>
                      </w:txbxContent>
                    </v:textbox>
                    <w10:wrap type="square" anchorx="page" anchory="page"/>
                  </v:shape>
                </w:pict>
              </mc:Fallback>
            </mc:AlternateContent>
          </w:r>
        </w:p>
        <w:p w14:paraId="346868A6" w14:textId="77777777" w:rsidR="00A401D5" w:rsidRDefault="00A401D5" w:rsidP="00B328BD">
          <w:pPr>
            <w:spacing w:line="259" w:lineRule="auto"/>
          </w:pPr>
        </w:p>
        <w:p w14:paraId="607B8146" w14:textId="77777777" w:rsidR="00A401D5" w:rsidRDefault="00A401D5" w:rsidP="00B328BD">
          <w:pPr>
            <w:spacing w:line="259" w:lineRule="auto"/>
          </w:pPr>
        </w:p>
        <w:p w14:paraId="17BC8C39" w14:textId="77777777" w:rsidR="00A401D5" w:rsidRDefault="00A401D5" w:rsidP="00B328BD">
          <w:pPr>
            <w:spacing w:line="259" w:lineRule="auto"/>
          </w:pPr>
        </w:p>
        <w:p w14:paraId="52E9AD73" w14:textId="66A12980" w:rsidR="00B328BD" w:rsidRDefault="00A401D5" w:rsidP="00B328BD">
          <w:pPr>
            <w:spacing w:line="259" w:lineRule="auto"/>
          </w:pPr>
          <w:r>
            <w:rPr>
              <w:noProof/>
            </w:rPr>
            <mc:AlternateContent>
              <mc:Choice Requires="wps">
                <w:drawing>
                  <wp:anchor distT="0" distB="0" distL="114300" distR="114300" simplePos="0" relativeHeight="251662336" behindDoc="0" locked="0" layoutInCell="1" allowOverlap="1" wp14:anchorId="4FC1EF49" wp14:editId="07A3879D">
                    <wp:simplePos x="0" y="0"/>
                    <wp:positionH relativeFrom="column">
                      <wp:posOffset>276225</wp:posOffset>
                    </wp:positionH>
                    <wp:positionV relativeFrom="paragraph">
                      <wp:posOffset>345440</wp:posOffset>
                    </wp:positionV>
                    <wp:extent cx="5372100" cy="16287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372100" cy="1628775"/>
                            </a:xfrm>
                            <a:prstGeom prst="rect">
                              <a:avLst/>
                            </a:prstGeom>
                            <a:solidFill>
                              <a:schemeClr val="lt1"/>
                            </a:solidFill>
                            <a:ln w="6350">
                              <a:noFill/>
                            </a:ln>
                          </wps:spPr>
                          <wps:txbx>
                            <w:txbxContent>
                              <w:p w14:paraId="1B60E258" w14:textId="38C39710" w:rsidR="00A401D5" w:rsidRPr="00A401D5" w:rsidRDefault="00A401D5">
                                <w:pPr>
                                  <w:rPr>
                                    <w:sz w:val="36"/>
                                    <w:szCs w:val="36"/>
                                  </w:rPr>
                                </w:pPr>
                                <w:r w:rsidRPr="00A401D5">
                                  <w:rPr>
                                    <w:color w:val="404040" w:themeColor="text1" w:themeTint="BF"/>
                                    <w:sz w:val="52"/>
                                    <w:szCs w:val="52"/>
                                  </w:rPr>
                                  <w:t>Status of contract disclosure practice in Nigeria – NSWG Review</w:t>
                                </w:r>
                                <w:r w:rsidRPr="00A401D5">
                                  <w:rPr>
                                    <w:sz w:val="36"/>
                                    <w:szCs w:val="36"/>
                                  </w:rPr>
                                  <w:t xml:space="preserve"> </w:t>
                                </w:r>
                              </w:p>
                              <w:p w14:paraId="02A3F42C" w14:textId="750CE063" w:rsidR="00A401D5" w:rsidRDefault="00A401D5"/>
                              <w:p w14:paraId="0A0938B8" w14:textId="7F8E0850" w:rsidR="00A401D5" w:rsidRDefault="00342CAC">
                                <w:r>
                                  <w:t>December</w:t>
                                </w:r>
                                <w:r w:rsidR="00A401D5">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1EF49" id="Text Box 2" o:spid="_x0000_s1027" type="#_x0000_t202" style="position:absolute;margin-left:21.75pt;margin-top:27.2pt;width:423pt;height:1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" fillcolor="white [3201]" stroked="f" strokeweight=".5pt">
                    <v:textbox>
                      <w:txbxContent>
                        <w:p w14:paraId="1B60E258" w14:textId="38C39710" w:rsidR="00A401D5" w:rsidRPr="00A401D5" w:rsidRDefault="00A401D5">
                          <w:pPr>
                            <w:rPr>
                              <w:sz w:val="36"/>
                              <w:szCs w:val="36"/>
                            </w:rPr>
                          </w:pPr>
                          <w:r w:rsidRPr="00A401D5">
                            <w:rPr>
                              <w:color w:val="404040" w:themeColor="text1" w:themeTint="BF"/>
                              <w:sz w:val="52"/>
                              <w:szCs w:val="52"/>
                            </w:rPr>
                            <w:t>Status of contract disclosure practice in Nigeria – NSWG Review</w:t>
                          </w:r>
                          <w:r w:rsidRPr="00A401D5">
                            <w:rPr>
                              <w:sz w:val="36"/>
                              <w:szCs w:val="36"/>
                            </w:rPr>
                            <w:t xml:space="preserve"> </w:t>
                          </w:r>
                        </w:p>
                        <w:p w14:paraId="02A3F42C" w14:textId="750CE063" w:rsidR="00A401D5" w:rsidRDefault="00A401D5"/>
                        <w:p w14:paraId="0A0938B8" w14:textId="7F8E0850" w:rsidR="00A401D5" w:rsidRDefault="00342CAC">
                          <w:r>
                            <w:t>December</w:t>
                          </w:r>
                          <w:r w:rsidR="00A401D5">
                            <w:t xml:space="preserve"> 2022</w:t>
                          </w:r>
                        </w:p>
                      </w:txbxContent>
                    </v:textbox>
                  </v:shape>
                </w:pict>
              </mc:Fallback>
            </mc:AlternateContent>
          </w:r>
          <w:r w:rsidR="00B328BD">
            <w:br w:type="page"/>
          </w:r>
        </w:p>
      </w:sdtContent>
    </w:sdt>
    <w:p w14:paraId="69B00910" w14:textId="77777777" w:rsidR="00B328BD" w:rsidRPr="006B727D" w:rsidRDefault="00B328BD" w:rsidP="00B328BD">
      <w:pPr>
        <w:jc w:val="both"/>
        <w:rPr>
          <w:rFonts w:asciiTheme="majorHAnsi" w:eastAsia="Times New Roman" w:hAnsiTheme="majorHAnsi" w:cstheme="majorHAnsi"/>
          <w:b/>
          <w:bCs/>
          <w:sz w:val="28"/>
          <w:szCs w:val="28"/>
        </w:rPr>
      </w:pPr>
      <w:r w:rsidRPr="006B727D">
        <w:rPr>
          <w:rFonts w:asciiTheme="majorHAnsi" w:eastAsia="Times New Roman" w:hAnsiTheme="majorHAnsi" w:cstheme="majorHAnsi"/>
          <w:b/>
          <w:bCs/>
          <w:sz w:val="28"/>
          <w:szCs w:val="28"/>
        </w:rPr>
        <w:lastRenderedPageBreak/>
        <w:t>Introduction</w:t>
      </w:r>
    </w:p>
    <w:p w14:paraId="2158A76C" w14:textId="05C724A6" w:rsidR="00B328BD" w:rsidRDefault="00A401D5"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The NSWG set up a</w:t>
      </w:r>
      <w:r w:rsidR="00B328BD">
        <w:rPr>
          <w:rFonts w:asciiTheme="majorHAnsi" w:eastAsia="Times New Roman" w:hAnsiTheme="majorHAnsi" w:cstheme="majorHAnsi"/>
          <w:sz w:val="24"/>
          <w:szCs w:val="24"/>
        </w:rPr>
        <w:t xml:space="preserve"> </w:t>
      </w:r>
      <w:r w:rsidR="00B328BD" w:rsidRPr="000249CD">
        <w:rPr>
          <w:rFonts w:asciiTheme="majorHAnsi" w:eastAsia="Times New Roman" w:hAnsiTheme="majorHAnsi" w:cstheme="majorHAnsi"/>
          <w:sz w:val="24"/>
          <w:szCs w:val="24"/>
        </w:rPr>
        <w:t xml:space="preserve">committee </w:t>
      </w:r>
      <w:r>
        <w:rPr>
          <w:rFonts w:asciiTheme="majorHAnsi" w:eastAsia="Times New Roman" w:hAnsiTheme="majorHAnsi" w:cstheme="majorHAnsi"/>
          <w:sz w:val="24"/>
          <w:szCs w:val="24"/>
        </w:rPr>
        <w:t>for</w:t>
      </w:r>
      <w:r w:rsidR="00B328BD" w:rsidRPr="000249CD">
        <w:rPr>
          <w:rFonts w:asciiTheme="majorHAnsi" w:eastAsia="Times New Roman" w:hAnsiTheme="majorHAnsi" w:cstheme="majorHAnsi"/>
          <w:sz w:val="24"/>
          <w:szCs w:val="24"/>
        </w:rPr>
        <w:t xml:space="preserve"> the implementation of contract transparency in the extractive sector in Nigeria</w:t>
      </w:r>
      <w:r>
        <w:rPr>
          <w:rFonts w:asciiTheme="majorHAnsi" w:eastAsia="Times New Roman" w:hAnsiTheme="majorHAnsi" w:cstheme="majorHAnsi"/>
          <w:sz w:val="24"/>
          <w:szCs w:val="24"/>
        </w:rPr>
        <w:t xml:space="preserve">, </w:t>
      </w:r>
      <w:r w:rsidR="00B328BD" w:rsidRPr="000249CD">
        <w:rPr>
          <w:rFonts w:asciiTheme="majorHAnsi" w:eastAsia="Times New Roman" w:hAnsiTheme="majorHAnsi" w:cstheme="majorHAnsi"/>
          <w:sz w:val="24"/>
          <w:szCs w:val="24"/>
        </w:rPr>
        <w:t xml:space="preserve">inaugurated in November 2021 </w:t>
      </w:r>
      <w:r w:rsidR="00B328BD">
        <w:rPr>
          <w:rFonts w:asciiTheme="majorHAnsi" w:eastAsia="Times New Roman" w:hAnsiTheme="majorHAnsi" w:cstheme="majorHAnsi"/>
          <w:sz w:val="24"/>
          <w:szCs w:val="24"/>
        </w:rPr>
        <w:t>with terms of reference below:</w:t>
      </w:r>
    </w:p>
    <w:p w14:paraId="611B9055" w14:textId="77777777" w:rsidR="00B328BD" w:rsidRDefault="00B328BD" w:rsidP="00B328BD">
      <w:pPr>
        <w:numPr>
          <w:ilvl w:val="0"/>
          <w:numId w:val="1"/>
        </w:numPr>
        <w:spacing w:after="0" w:line="240" w:lineRule="auto"/>
        <w:ind w:left="1267"/>
        <w:contextualSpacing/>
        <w:rPr>
          <w:rFonts w:asciiTheme="majorHAnsi" w:eastAsia="Times New Roman" w:hAnsiTheme="majorHAnsi" w:cstheme="majorHAnsi"/>
          <w:sz w:val="24"/>
          <w:szCs w:val="24"/>
        </w:rPr>
      </w:pPr>
      <w:r w:rsidRPr="008A2E63">
        <w:rPr>
          <w:rFonts w:asciiTheme="majorHAnsi" w:eastAsia="Times New Roman" w:hAnsiTheme="majorHAnsi" w:cstheme="majorHAnsi"/>
          <w:sz w:val="24"/>
          <w:szCs w:val="24"/>
        </w:rPr>
        <w:t>agree on a commitment to include a statement in the Expression of Interest for Bid Rounds, Oil and Gas Term contracts and other trading contracts that agreed terms will be published according to the President’s commitment on transparency and contract disclosure,</w:t>
      </w:r>
    </w:p>
    <w:p w14:paraId="797CEC42" w14:textId="77777777" w:rsidR="00B328BD" w:rsidRPr="008A2E63" w:rsidRDefault="00B328BD" w:rsidP="00B328BD">
      <w:pPr>
        <w:spacing w:after="0" w:line="240" w:lineRule="auto"/>
        <w:ind w:left="1267"/>
        <w:contextualSpacing/>
        <w:rPr>
          <w:rFonts w:asciiTheme="majorHAnsi" w:eastAsia="Times New Roman" w:hAnsiTheme="majorHAnsi" w:cstheme="majorHAnsi"/>
          <w:sz w:val="24"/>
          <w:szCs w:val="24"/>
        </w:rPr>
      </w:pPr>
    </w:p>
    <w:p w14:paraId="4880A8F2" w14:textId="77777777" w:rsidR="00B328BD" w:rsidRDefault="00B328BD" w:rsidP="00B328BD">
      <w:pPr>
        <w:numPr>
          <w:ilvl w:val="0"/>
          <w:numId w:val="1"/>
        </w:numPr>
        <w:spacing w:after="0" w:line="240" w:lineRule="auto"/>
        <w:ind w:left="1267"/>
        <w:contextualSpacing/>
        <w:rPr>
          <w:rFonts w:asciiTheme="majorHAnsi" w:eastAsia="Times New Roman" w:hAnsiTheme="majorHAnsi" w:cstheme="majorHAnsi"/>
          <w:sz w:val="24"/>
          <w:szCs w:val="24"/>
        </w:rPr>
      </w:pPr>
      <w:r w:rsidRPr="008A2E63">
        <w:rPr>
          <w:rFonts w:asciiTheme="majorHAnsi" w:eastAsia="Times New Roman" w:hAnsiTheme="majorHAnsi" w:cstheme="majorHAnsi"/>
          <w:sz w:val="24"/>
          <w:szCs w:val="24"/>
        </w:rPr>
        <w:t>develop an action plan and activities, addressing how contracts are to be published going forward, i.e., what to disclose, how to disclose and when to disclose,</w:t>
      </w:r>
    </w:p>
    <w:p w14:paraId="0ADE2741" w14:textId="77777777" w:rsidR="00B328BD" w:rsidRDefault="00B328BD" w:rsidP="00B328BD">
      <w:pPr>
        <w:pStyle w:val="ListParagraph"/>
        <w:rPr>
          <w:rFonts w:asciiTheme="majorHAnsi" w:eastAsia="Times New Roman" w:hAnsiTheme="majorHAnsi" w:cstheme="majorHAnsi"/>
          <w:sz w:val="24"/>
          <w:szCs w:val="24"/>
        </w:rPr>
      </w:pPr>
    </w:p>
    <w:p w14:paraId="0794AC34" w14:textId="77777777" w:rsidR="00B328BD" w:rsidRDefault="00B328BD" w:rsidP="00B328BD">
      <w:pPr>
        <w:numPr>
          <w:ilvl w:val="0"/>
          <w:numId w:val="1"/>
        </w:numPr>
        <w:spacing w:after="0" w:line="240" w:lineRule="auto"/>
        <w:ind w:left="1267"/>
        <w:contextualSpacing/>
        <w:rPr>
          <w:rFonts w:asciiTheme="majorHAnsi" w:eastAsia="Times New Roman" w:hAnsiTheme="majorHAnsi" w:cstheme="majorHAnsi"/>
          <w:sz w:val="24"/>
          <w:szCs w:val="24"/>
        </w:rPr>
      </w:pPr>
      <w:r w:rsidRPr="008A2E63">
        <w:rPr>
          <w:rFonts w:asciiTheme="majorHAnsi" w:eastAsia="Times New Roman" w:hAnsiTheme="majorHAnsi" w:cstheme="majorHAnsi"/>
          <w:sz w:val="24"/>
          <w:szCs w:val="24"/>
        </w:rPr>
        <w:t xml:space="preserve">review of the </w:t>
      </w:r>
      <w:bookmarkStart w:id="0" w:name="_Hlk114824455"/>
      <w:r w:rsidRPr="008A2E63">
        <w:rPr>
          <w:rFonts w:asciiTheme="majorHAnsi" w:eastAsia="Times New Roman" w:hAnsiTheme="majorHAnsi" w:cstheme="majorHAnsi"/>
          <w:sz w:val="24"/>
          <w:szCs w:val="24"/>
        </w:rPr>
        <w:t>institutional or legal barriers to confidentiality clauses that may impede such publication and how to overcome these barriers going forward</w:t>
      </w:r>
      <w:bookmarkEnd w:id="0"/>
      <w:r w:rsidRPr="008A2E63">
        <w:rPr>
          <w:rFonts w:asciiTheme="majorHAnsi" w:eastAsia="Times New Roman" w:hAnsiTheme="majorHAnsi" w:cstheme="majorHAnsi"/>
          <w:sz w:val="24"/>
          <w:szCs w:val="24"/>
        </w:rPr>
        <w:t>,</w:t>
      </w:r>
    </w:p>
    <w:p w14:paraId="6D9EF438" w14:textId="77777777" w:rsidR="00B328BD" w:rsidRDefault="00B328BD" w:rsidP="00B328BD">
      <w:pPr>
        <w:pStyle w:val="ListParagraph"/>
        <w:rPr>
          <w:rFonts w:asciiTheme="majorHAnsi" w:eastAsia="Times New Roman" w:hAnsiTheme="majorHAnsi" w:cstheme="majorHAnsi"/>
          <w:sz w:val="24"/>
          <w:szCs w:val="24"/>
        </w:rPr>
      </w:pPr>
    </w:p>
    <w:p w14:paraId="060C046E" w14:textId="77777777" w:rsidR="00B328BD" w:rsidRDefault="00B328BD" w:rsidP="00B328BD">
      <w:pPr>
        <w:numPr>
          <w:ilvl w:val="0"/>
          <w:numId w:val="1"/>
        </w:numPr>
        <w:spacing w:after="0" w:line="240" w:lineRule="auto"/>
        <w:ind w:left="1267"/>
        <w:contextualSpacing/>
        <w:rPr>
          <w:rFonts w:asciiTheme="majorHAnsi" w:eastAsia="Times New Roman" w:hAnsiTheme="majorHAnsi" w:cstheme="majorHAnsi"/>
          <w:sz w:val="24"/>
          <w:szCs w:val="24"/>
        </w:rPr>
      </w:pPr>
      <w:r w:rsidRPr="008A2E63">
        <w:rPr>
          <w:rFonts w:asciiTheme="majorHAnsi" w:eastAsia="Times New Roman" w:hAnsiTheme="majorHAnsi" w:cstheme="majorHAnsi"/>
          <w:sz w:val="24"/>
          <w:szCs w:val="24"/>
        </w:rPr>
        <w:t>produce a list (titles) of all existing contracts that Nigeria is party to, and</w:t>
      </w:r>
    </w:p>
    <w:p w14:paraId="16129BA6" w14:textId="77777777" w:rsidR="00B328BD" w:rsidRDefault="00B328BD" w:rsidP="00B328BD">
      <w:pPr>
        <w:pStyle w:val="ListParagraph"/>
        <w:rPr>
          <w:rFonts w:asciiTheme="majorHAnsi" w:eastAsia="Times New Roman" w:hAnsiTheme="majorHAnsi" w:cstheme="majorHAnsi"/>
          <w:sz w:val="24"/>
          <w:szCs w:val="24"/>
        </w:rPr>
      </w:pPr>
    </w:p>
    <w:p w14:paraId="62E9DECF" w14:textId="77777777" w:rsidR="00B328BD" w:rsidRPr="008A2E63" w:rsidRDefault="00B328BD" w:rsidP="00B328BD">
      <w:pPr>
        <w:numPr>
          <w:ilvl w:val="0"/>
          <w:numId w:val="1"/>
        </w:numPr>
        <w:spacing w:after="0" w:line="240" w:lineRule="auto"/>
        <w:ind w:left="1267"/>
        <w:contextualSpacing/>
        <w:rPr>
          <w:rFonts w:asciiTheme="majorHAnsi" w:eastAsia="Times New Roman" w:hAnsiTheme="majorHAnsi" w:cstheme="majorHAnsi"/>
          <w:sz w:val="24"/>
          <w:szCs w:val="24"/>
        </w:rPr>
      </w:pPr>
      <w:r w:rsidRPr="008A2E63">
        <w:rPr>
          <w:rFonts w:asciiTheme="majorHAnsi" w:eastAsia="Times New Roman" w:hAnsiTheme="majorHAnsi" w:cstheme="majorHAnsi"/>
          <w:sz w:val="24"/>
          <w:szCs w:val="24"/>
        </w:rPr>
        <w:t>any other documentation that will ensure Nigeria’s realization of the commitment made by Mr. President, to the international community at the London Anti-corruption summit.</w:t>
      </w:r>
    </w:p>
    <w:p w14:paraId="41158B2F" w14:textId="77777777" w:rsidR="00B328BD" w:rsidRDefault="00B328BD" w:rsidP="00B328BD">
      <w:pPr>
        <w:jc w:val="both"/>
        <w:rPr>
          <w:rFonts w:asciiTheme="majorHAnsi" w:eastAsia="Times New Roman" w:hAnsiTheme="majorHAnsi" w:cstheme="majorHAnsi"/>
          <w:sz w:val="24"/>
          <w:szCs w:val="24"/>
        </w:rPr>
      </w:pPr>
    </w:p>
    <w:p w14:paraId="728957B2" w14:textId="277B10A7" w:rsidR="00B328BD" w:rsidRDefault="00B328BD"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committee adopted a 10-point </w:t>
      </w:r>
      <w:hyperlink r:id="rId6" w:history="1">
        <w:r w:rsidRPr="003A629D">
          <w:rPr>
            <w:rStyle w:val="Hyperlink"/>
            <w:rFonts w:asciiTheme="majorHAnsi" w:eastAsia="Times New Roman" w:hAnsiTheme="majorHAnsi" w:cstheme="majorHAnsi"/>
            <w:sz w:val="24"/>
            <w:szCs w:val="24"/>
          </w:rPr>
          <w:t>Implementation Plan</w:t>
        </w:r>
      </w:hyperlink>
      <w:r>
        <w:rPr>
          <w:rFonts w:asciiTheme="majorHAnsi" w:eastAsia="Times New Roman" w:hAnsiTheme="majorHAnsi" w:cstheme="majorHAnsi"/>
          <w:sz w:val="24"/>
          <w:szCs w:val="24"/>
        </w:rPr>
        <w:t>, identifying activities to be i</w:t>
      </w:r>
      <w:r w:rsidRPr="003E77DA">
        <w:rPr>
          <w:rFonts w:asciiTheme="majorHAnsi" w:eastAsia="Times New Roman" w:hAnsiTheme="majorHAnsi" w:cstheme="majorHAnsi"/>
          <w:sz w:val="24"/>
          <w:szCs w:val="24"/>
        </w:rPr>
        <w:t>mplemented by specific MDAs</w:t>
      </w:r>
      <w:r w:rsidR="002B7817">
        <w:rPr>
          <w:rFonts w:asciiTheme="majorHAnsi" w:eastAsia="Times New Roman" w:hAnsiTheme="majorHAnsi" w:cstheme="majorHAnsi"/>
          <w:sz w:val="24"/>
          <w:szCs w:val="24"/>
        </w:rPr>
        <w:t>.</w:t>
      </w:r>
    </w:p>
    <w:p w14:paraId="19F64EC3" w14:textId="77777777" w:rsidR="00B328BD" w:rsidRDefault="00B328BD"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Membership of the committee include representatives from:</w:t>
      </w:r>
    </w:p>
    <w:p w14:paraId="19385580"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Federal Ministry of Justice</w:t>
      </w:r>
    </w:p>
    <w:p w14:paraId="2134CDFE"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Ministry of Mines and Steel Development</w:t>
      </w:r>
    </w:p>
    <w:p w14:paraId="01CF4F7C"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Mining Cadastral Office</w:t>
      </w:r>
    </w:p>
    <w:p w14:paraId="09290318"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Ministry of Petroleum Resources</w:t>
      </w:r>
    </w:p>
    <w:p w14:paraId="0568684C"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Nigeria Upstream Petroleum Regulatory Commission</w:t>
      </w:r>
    </w:p>
    <w:p w14:paraId="1175D50A" w14:textId="77777777" w:rsidR="00B328BD" w:rsidRDefault="00B328BD" w:rsidP="00B328BD">
      <w:pPr>
        <w:pStyle w:val="ListParagraph"/>
        <w:numPr>
          <w:ilvl w:val="0"/>
          <w:numId w:val="3"/>
        </w:numPr>
        <w:jc w:val="both"/>
        <w:rPr>
          <w:rFonts w:asciiTheme="majorHAnsi" w:eastAsia="Times New Roman" w:hAnsiTheme="majorHAnsi" w:cstheme="majorHAnsi"/>
          <w:sz w:val="24"/>
          <w:szCs w:val="24"/>
        </w:rPr>
      </w:pPr>
      <w:r w:rsidRPr="00882AB7">
        <w:rPr>
          <w:rFonts w:asciiTheme="majorHAnsi" w:eastAsia="Times New Roman" w:hAnsiTheme="majorHAnsi" w:cstheme="majorHAnsi"/>
          <w:sz w:val="24"/>
          <w:szCs w:val="24"/>
        </w:rPr>
        <w:t>Nigerian National Petroleum Company Limited</w:t>
      </w:r>
    </w:p>
    <w:p w14:paraId="707A9602" w14:textId="77777777" w:rsidR="00B328BD" w:rsidRPr="00882AB7" w:rsidRDefault="00B328BD" w:rsidP="00B328BD">
      <w:pPr>
        <w:pStyle w:val="ListParagraph"/>
        <w:numPr>
          <w:ilvl w:val="0"/>
          <w:numId w:val="3"/>
        </w:num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Nigeria Extractive Industries Transparency Initiative</w:t>
      </w:r>
    </w:p>
    <w:p w14:paraId="29D9B893" w14:textId="77777777" w:rsidR="00B328BD" w:rsidRDefault="00B328BD"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p>
    <w:p w14:paraId="208A9DF8" w14:textId="1FD0DFDC" w:rsidR="00B328BD" w:rsidRDefault="004C5D47"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The work of the Committee led to the disclosure of some contracts and agreements in the extractive sector.</w:t>
      </w:r>
    </w:p>
    <w:p w14:paraId="00DB0046" w14:textId="77CDD716" w:rsidR="00B328BD" w:rsidRDefault="00B328BD" w:rsidP="00B328BD">
      <w:pPr>
        <w:jc w:val="both"/>
        <w:rPr>
          <w:rFonts w:asciiTheme="majorHAnsi" w:eastAsia="Times New Roman" w:hAnsiTheme="majorHAnsi" w:cstheme="majorHAnsi"/>
          <w:sz w:val="24"/>
          <w:szCs w:val="24"/>
        </w:rPr>
      </w:pPr>
    </w:p>
    <w:p w14:paraId="560A2A72" w14:textId="77777777" w:rsidR="004C5D47" w:rsidRDefault="004C5D47" w:rsidP="00B328BD">
      <w:pPr>
        <w:jc w:val="both"/>
        <w:rPr>
          <w:rFonts w:asciiTheme="majorHAnsi" w:eastAsia="Times New Roman" w:hAnsiTheme="majorHAnsi" w:cstheme="majorHAnsi"/>
          <w:sz w:val="24"/>
          <w:szCs w:val="24"/>
        </w:rPr>
      </w:pPr>
    </w:p>
    <w:p w14:paraId="32FF1A7E" w14:textId="2B28C494" w:rsidR="00B328BD" w:rsidRPr="00D2508A" w:rsidRDefault="00B328BD" w:rsidP="00B328BD">
      <w:pPr>
        <w:jc w:val="both"/>
        <w:rPr>
          <w:rFonts w:asciiTheme="majorHAnsi" w:eastAsia="Times New Roman" w:hAnsiTheme="majorHAnsi" w:cstheme="majorHAnsi"/>
          <w:b/>
          <w:bCs/>
          <w:sz w:val="28"/>
          <w:szCs w:val="28"/>
        </w:rPr>
      </w:pPr>
      <w:r>
        <w:rPr>
          <w:rFonts w:asciiTheme="majorHAnsi" w:eastAsia="Times New Roman" w:hAnsiTheme="majorHAnsi" w:cstheme="majorHAnsi"/>
          <w:b/>
          <w:bCs/>
          <w:sz w:val="28"/>
          <w:szCs w:val="28"/>
        </w:rPr>
        <w:t>The Practice of Contract Disclosure in Nigeria</w:t>
      </w:r>
    </w:p>
    <w:p w14:paraId="504B4EFF" w14:textId="4959AEE1" w:rsidR="00F20ACA" w:rsidRPr="00F20ACA" w:rsidRDefault="00F20ACA" w:rsidP="00B328BD">
      <w:pPr>
        <w:rPr>
          <w:rFonts w:asciiTheme="majorHAnsi" w:eastAsia="Times New Roman" w:hAnsiTheme="majorHAnsi" w:cstheme="majorHAnsi"/>
          <w:sz w:val="24"/>
          <w:szCs w:val="24"/>
        </w:rPr>
      </w:pPr>
      <w:r w:rsidRPr="00F20ACA">
        <w:rPr>
          <w:rFonts w:asciiTheme="majorHAnsi" w:eastAsia="Times New Roman" w:hAnsiTheme="majorHAnsi" w:cstheme="majorHAnsi"/>
          <w:sz w:val="24"/>
          <w:szCs w:val="24"/>
        </w:rPr>
        <w:t xml:space="preserve">The NSWG notes and agrees with the conclusion of the committee on the existence of any institutional or legal barriers that may impede the disclosure of contracts and concludes that there are no legal impediments to disclosure in Nigeria, and where confidentiality clauses exist, they are rendered subject to express provisions of the law. </w:t>
      </w:r>
      <w:r w:rsidR="00D86BE0">
        <w:rPr>
          <w:rFonts w:asciiTheme="majorHAnsi" w:eastAsia="Times New Roman" w:hAnsiTheme="majorHAnsi" w:cstheme="majorHAnsi"/>
          <w:sz w:val="24"/>
          <w:szCs w:val="24"/>
        </w:rPr>
        <w:t>This position is supported by the affirmation vide letter from Federal Ministry of Justice</w:t>
      </w:r>
      <w:r w:rsidR="00BE7AC7">
        <w:rPr>
          <w:rFonts w:asciiTheme="majorHAnsi" w:eastAsia="Times New Roman" w:hAnsiTheme="majorHAnsi" w:cstheme="majorHAnsi"/>
          <w:sz w:val="24"/>
          <w:szCs w:val="24"/>
        </w:rPr>
        <w:t xml:space="preserve"> seen</w:t>
      </w:r>
      <w:r w:rsidR="00D86BE0">
        <w:rPr>
          <w:rFonts w:asciiTheme="majorHAnsi" w:eastAsia="Times New Roman" w:hAnsiTheme="majorHAnsi" w:cstheme="majorHAnsi"/>
          <w:sz w:val="24"/>
          <w:szCs w:val="24"/>
        </w:rPr>
        <w:t xml:space="preserve"> </w:t>
      </w:r>
      <w:hyperlink r:id="rId7" w:history="1">
        <w:r w:rsidR="00D86BE0" w:rsidRPr="00BE7AC7">
          <w:rPr>
            <w:rStyle w:val="Hyperlink"/>
            <w:rFonts w:asciiTheme="majorHAnsi" w:eastAsia="Times New Roman" w:hAnsiTheme="majorHAnsi" w:cstheme="majorHAnsi"/>
            <w:sz w:val="24"/>
            <w:szCs w:val="24"/>
          </w:rPr>
          <w:t>here</w:t>
        </w:r>
      </w:hyperlink>
      <w:r w:rsidR="00D86BE0">
        <w:rPr>
          <w:rFonts w:asciiTheme="majorHAnsi" w:eastAsia="Times New Roman" w:hAnsiTheme="majorHAnsi" w:cstheme="majorHAnsi"/>
          <w:sz w:val="24"/>
          <w:szCs w:val="24"/>
        </w:rPr>
        <w:t>.</w:t>
      </w:r>
    </w:p>
    <w:p w14:paraId="7FA828D0" w14:textId="7BA3A704" w:rsidR="00B328BD" w:rsidRPr="009B0BBD" w:rsidRDefault="00B328BD" w:rsidP="00B328BD">
      <w:pPr>
        <w:rPr>
          <w:rFonts w:asciiTheme="majorHAnsi" w:eastAsia="Times New Roman" w:hAnsiTheme="majorHAnsi" w:cstheme="majorHAnsi"/>
          <w:b/>
          <w:bCs/>
          <w:sz w:val="24"/>
          <w:szCs w:val="24"/>
        </w:rPr>
      </w:pPr>
      <w:r w:rsidRPr="009B0BBD">
        <w:rPr>
          <w:rFonts w:asciiTheme="majorHAnsi" w:eastAsia="Times New Roman" w:hAnsiTheme="majorHAnsi" w:cstheme="majorHAnsi"/>
          <w:b/>
          <w:bCs/>
          <w:sz w:val="24"/>
          <w:szCs w:val="24"/>
        </w:rPr>
        <w:t>Oil and gas</w:t>
      </w:r>
    </w:p>
    <w:p w14:paraId="7132B9FB" w14:textId="7B6DDD18" w:rsidR="00B328BD" w:rsidRDefault="00BD5847" w:rsidP="00B328BD">
      <w:pPr>
        <w:jc w:val="both"/>
        <w:rPr>
          <w:rFonts w:asciiTheme="majorHAnsi" w:eastAsia="Times New Roman" w:hAnsiTheme="majorHAnsi" w:cstheme="majorHAnsi"/>
          <w:sz w:val="24"/>
          <w:szCs w:val="24"/>
        </w:rPr>
      </w:pPr>
      <w:bookmarkStart w:id="1" w:name="_Hlk114826966"/>
      <w:bookmarkStart w:id="2" w:name="_Hlk100326587"/>
      <w:r>
        <w:rPr>
          <w:rFonts w:asciiTheme="majorHAnsi" w:eastAsia="Times New Roman" w:hAnsiTheme="majorHAnsi" w:cstheme="majorHAnsi"/>
          <w:sz w:val="24"/>
          <w:szCs w:val="24"/>
        </w:rPr>
        <w:t xml:space="preserve">Through the work of the </w:t>
      </w:r>
      <w:r w:rsidR="00B328BD">
        <w:rPr>
          <w:rFonts w:asciiTheme="majorHAnsi" w:eastAsia="Times New Roman" w:hAnsiTheme="majorHAnsi" w:cstheme="majorHAnsi"/>
          <w:sz w:val="24"/>
          <w:szCs w:val="24"/>
        </w:rPr>
        <w:t>committee</w:t>
      </w:r>
      <w:r>
        <w:rPr>
          <w:rFonts w:asciiTheme="majorHAnsi" w:eastAsia="Times New Roman" w:hAnsiTheme="majorHAnsi" w:cstheme="majorHAnsi"/>
          <w:sz w:val="24"/>
          <w:szCs w:val="24"/>
        </w:rPr>
        <w:t>, the NSWG</w:t>
      </w:r>
      <w:r w:rsidR="00B328BD">
        <w:rPr>
          <w:rFonts w:asciiTheme="majorHAnsi" w:eastAsia="Times New Roman" w:hAnsiTheme="majorHAnsi" w:cstheme="majorHAnsi"/>
          <w:sz w:val="24"/>
          <w:szCs w:val="24"/>
        </w:rPr>
        <w:t xml:space="preserve"> identified two categories of contracts; those </w:t>
      </w:r>
      <w:r w:rsidR="00B328BD" w:rsidRPr="006260D4">
        <w:rPr>
          <w:rFonts w:asciiTheme="majorHAnsi" w:eastAsia="Times New Roman" w:hAnsiTheme="majorHAnsi" w:cstheme="majorHAnsi"/>
          <w:sz w:val="24"/>
          <w:szCs w:val="24"/>
        </w:rPr>
        <w:t>entered or amended between January 1 and November 30</w:t>
      </w:r>
      <w:bookmarkEnd w:id="1"/>
      <w:r w:rsidR="00B328BD" w:rsidRPr="006260D4">
        <w:rPr>
          <w:rFonts w:asciiTheme="majorHAnsi" w:eastAsia="Times New Roman" w:hAnsiTheme="majorHAnsi" w:cstheme="majorHAnsi"/>
          <w:sz w:val="24"/>
          <w:szCs w:val="24"/>
        </w:rPr>
        <w:t>, 2021,</w:t>
      </w:r>
      <w:r w:rsidR="00B328BD">
        <w:rPr>
          <w:rFonts w:asciiTheme="majorHAnsi" w:eastAsia="Times New Roman" w:hAnsiTheme="majorHAnsi" w:cstheme="majorHAnsi"/>
          <w:sz w:val="24"/>
          <w:szCs w:val="24"/>
        </w:rPr>
        <w:t xml:space="preserve"> and those entered post PIA. Those in the first category</w:t>
      </w:r>
      <w:r w:rsidR="00F20ACA">
        <w:rPr>
          <w:rFonts w:asciiTheme="majorHAnsi" w:eastAsia="Times New Roman" w:hAnsiTheme="majorHAnsi" w:cstheme="majorHAnsi"/>
          <w:sz w:val="24"/>
          <w:szCs w:val="24"/>
        </w:rPr>
        <w:t xml:space="preserve"> have been disclosed on the</w:t>
      </w:r>
      <w:r w:rsidR="00F20ACA" w:rsidRPr="00F05814">
        <w:rPr>
          <w:rFonts w:asciiTheme="majorHAnsi" w:eastAsia="Times New Roman" w:hAnsiTheme="majorHAnsi" w:cstheme="majorHAnsi"/>
          <w:sz w:val="24"/>
          <w:szCs w:val="24"/>
        </w:rPr>
        <w:t xml:space="preserve"> NNPC Limited website </w:t>
      </w:r>
      <w:hyperlink r:id="rId8" w:history="1">
        <w:r w:rsidR="00F20ACA" w:rsidRPr="00515DB5">
          <w:rPr>
            <w:rStyle w:val="Hyperlink"/>
            <w:rFonts w:asciiTheme="majorHAnsi" w:eastAsia="Times New Roman" w:hAnsiTheme="majorHAnsi" w:cstheme="majorHAnsi"/>
            <w:sz w:val="24"/>
            <w:szCs w:val="24"/>
          </w:rPr>
          <w:t>here</w:t>
        </w:r>
      </w:hyperlink>
      <w:r w:rsidR="00F20ACA">
        <w:rPr>
          <w:rFonts w:asciiTheme="majorHAnsi" w:eastAsia="Times New Roman" w:hAnsiTheme="majorHAnsi" w:cstheme="majorHAnsi"/>
          <w:sz w:val="24"/>
          <w:szCs w:val="24"/>
        </w:rPr>
        <w:t>.</w:t>
      </w:r>
      <w:r w:rsidR="00B328BD">
        <w:rPr>
          <w:rFonts w:asciiTheme="majorHAnsi" w:eastAsia="Times New Roman" w:hAnsiTheme="majorHAnsi" w:cstheme="majorHAnsi"/>
          <w:sz w:val="24"/>
          <w:szCs w:val="24"/>
        </w:rPr>
        <w:t xml:space="preserve"> </w:t>
      </w:r>
    </w:p>
    <w:p w14:paraId="4215CD4A" w14:textId="2DEF815C" w:rsidR="00B328BD" w:rsidRPr="008001D3" w:rsidRDefault="00F20ACA" w:rsidP="00B328BD">
      <w:pPr>
        <w:spacing w:after="0" w:line="240" w:lineRule="auto"/>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They are:</w:t>
      </w:r>
    </w:p>
    <w:p w14:paraId="59717A81" w14:textId="77777777" w:rsidR="00B328BD" w:rsidRPr="008001D3" w:rsidRDefault="00B328BD" w:rsidP="00B328BD">
      <w:pPr>
        <w:pStyle w:val="ListParagraph"/>
        <w:numPr>
          <w:ilvl w:val="0"/>
          <w:numId w:val="2"/>
        </w:numPr>
        <w:spacing w:after="0" w:line="240" w:lineRule="auto"/>
        <w:rPr>
          <w:rFonts w:asciiTheme="majorHAnsi" w:eastAsia="Times New Roman" w:hAnsiTheme="majorHAnsi" w:cstheme="majorHAnsi"/>
          <w:sz w:val="24"/>
          <w:szCs w:val="24"/>
        </w:rPr>
      </w:pPr>
      <w:r w:rsidRPr="008001D3">
        <w:rPr>
          <w:rFonts w:asciiTheme="majorHAnsi" w:eastAsia="Times New Roman" w:hAnsiTheme="majorHAnsi" w:cstheme="majorHAnsi"/>
          <w:sz w:val="24"/>
          <w:szCs w:val="24"/>
        </w:rPr>
        <w:t>Production Sharing Contract in respect of Oil Mining Lease (OML) 118 executed in May 2021</w:t>
      </w:r>
    </w:p>
    <w:p w14:paraId="717592E8" w14:textId="77777777" w:rsidR="00B328BD" w:rsidRPr="008001D3" w:rsidRDefault="00B328BD" w:rsidP="00B328BD">
      <w:pPr>
        <w:pStyle w:val="ListParagraph"/>
        <w:numPr>
          <w:ilvl w:val="0"/>
          <w:numId w:val="2"/>
        </w:numPr>
        <w:spacing w:after="0" w:line="240" w:lineRule="auto"/>
        <w:rPr>
          <w:rFonts w:asciiTheme="majorHAnsi" w:eastAsia="Times New Roman" w:hAnsiTheme="majorHAnsi" w:cstheme="majorHAnsi"/>
          <w:sz w:val="24"/>
          <w:szCs w:val="24"/>
        </w:rPr>
      </w:pPr>
      <w:r w:rsidRPr="008001D3">
        <w:rPr>
          <w:rFonts w:asciiTheme="majorHAnsi" w:eastAsia="Times New Roman" w:hAnsiTheme="majorHAnsi" w:cstheme="majorHAnsi"/>
          <w:sz w:val="24"/>
          <w:szCs w:val="24"/>
        </w:rPr>
        <w:t>Sale and Purchase Agreement (SPA) on acquisition of Chevron Nigeria Limited (CNL) equity in OMLs 86 and 88</w:t>
      </w:r>
    </w:p>
    <w:p w14:paraId="623E01B5" w14:textId="77777777" w:rsidR="00B328BD" w:rsidRPr="008001D3" w:rsidRDefault="00B328BD" w:rsidP="00B328BD">
      <w:pPr>
        <w:pStyle w:val="ListParagraph"/>
        <w:numPr>
          <w:ilvl w:val="0"/>
          <w:numId w:val="2"/>
        </w:numPr>
        <w:spacing w:after="0" w:line="240" w:lineRule="auto"/>
        <w:rPr>
          <w:rFonts w:asciiTheme="majorHAnsi" w:eastAsia="Times New Roman" w:hAnsiTheme="majorHAnsi" w:cstheme="majorHAnsi"/>
          <w:sz w:val="24"/>
          <w:szCs w:val="24"/>
        </w:rPr>
      </w:pPr>
      <w:r w:rsidRPr="008001D3">
        <w:rPr>
          <w:rFonts w:asciiTheme="majorHAnsi" w:eastAsia="Times New Roman" w:hAnsiTheme="majorHAnsi" w:cstheme="majorHAnsi"/>
          <w:sz w:val="24"/>
          <w:szCs w:val="24"/>
        </w:rPr>
        <w:t>Gas Sale &amp; Purchase Agreement in respect of OML 30 PSC</w:t>
      </w:r>
    </w:p>
    <w:p w14:paraId="7FD46041" w14:textId="297CA43E" w:rsidR="00B328BD" w:rsidRDefault="00B328BD" w:rsidP="00B328BD">
      <w:pPr>
        <w:pStyle w:val="ListParagraph"/>
        <w:numPr>
          <w:ilvl w:val="0"/>
          <w:numId w:val="2"/>
        </w:numPr>
        <w:spacing w:after="0" w:line="240" w:lineRule="auto"/>
        <w:rPr>
          <w:rFonts w:asciiTheme="majorHAnsi" w:eastAsia="Times New Roman" w:hAnsiTheme="majorHAnsi" w:cstheme="majorHAnsi"/>
          <w:sz w:val="24"/>
          <w:szCs w:val="24"/>
        </w:rPr>
      </w:pPr>
      <w:r w:rsidRPr="008001D3">
        <w:rPr>
          <w:rFonts w:asciiTheme="majorHAnsi" w:eastAsia="Times New Roman" w:hAnsiTheme="majorHAnsi" w:cstheme="majorHAnsi"/>
          <w:sz w:val="24"/>
          <w:szCs w:val="24"/>
        </w:rPr>
        <w:t>Gas Development Agreement in respect of OML 143</w:t>
      </w:r>
    </w:p>
    <w:p w14:paraId="2DB594B3" w14:textId="3F5E7D6A" w:rsidR="00B4331D" w:rsidRDefault="00B4331D" w:rsidP="00B328BD">
      <w:pPr>
        <w:pStyle w:val="ListParagraph"/>
        <w:numPr>
          <w:ilvl w:val="0"/>
          <w:numId w:val="2"/>
        </w:numPr>
        <w:spacing w:after="0"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Annex to OML 118 PSC</w:t>
      </w:r>
    </w:p>
    <w:p w14:paraId="117DA636" w14:textId="77777777" w:rsidR="00B328BD" w:rsidRDefault="00B328BD" w:rsidP="00B328BD">
      <w:pPr>
        <w:spacing w:after="0"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p>
    <w:bookmarkEnd w:id="2"/>
    <w:p w14:paraId="0FD91949" w14:textId="219776EB" w:rsidR="00B328BD" w:rsidRDefault="004C5D47" w:rsidP="004C5D47">
      <w:pPr>
        <w:spacing w:after="0" w:line="240" w:lineRule="auto"/>
        <w:contextualSpacing/>
        <w:rPr>
          <w:rFonts w:asciiTheme="majorHAnsi" w:eastAsia="Times New Roman" w:hAnsiTheme="majorHAnsi" w:cstheme="majorHAnsi"/>
          <w:sz w:val="24"/>
          <w:szCs w:val="24"/>
        </w:rPr>
      </w:pPr>
      <w:r w:rsidRPr="004C5D47">
        <w:rPr>
          <w:rFonts w:asciiTheme="majorHAnsi" w:eastAsia="Times New Roman" w:hAnsiTheme="majorHAnsi" w:cstheme="majorHAnsi"/>
          <w:sz w:val="24"/>
          <w:szCs w:val="24"/>
        </w:rPr>
        <w:t xml:space="preserve">A list of all active contracts and licenses </w:t>
      </w:r>
      <w:r>
        <w:rPr>
          <w:rFonts w:asciiTheme="majorHAnsi" w:eastAsia="Times New Roman" w:hAnsiTheme="majorHAnsi" w:cstheme="majorHAnsi"/>
          <w:sz w:val="24"/>
          <w:szCs w:val="24"/>
        </w:rPr>
        <w:t xml:space="preserve">as of December 2020 </w:t>
      </w:r>
      <w:r w:rsidRPr="004C5D47">
        <w:rPr>
          <w:rFonts w:asciiTheme="majorHAnsi" w:eastAsia="Times New Roman" w:hAnsiTheme="majorHAnsi" w:cstheme="majorHAnsi"/>
          <w:sz w:val="24"/>
          <w:szCs w:val="24"/>
        </w:rPr>
        <w:t xml:space="preserve">has been disclosed through the NEITI 2020 Oil &amp; Gas Industry Report in </w:t>
      </w:r>
      <w:hyperlink r:id="rId9" w:history="1">
        <w:r w:rsidRPr="007E730F">
          <w:rPr>
            <w:rStyle w:val="Hyperlink"/>
            <w:rFonts w:asciiTheme="majorHAnsi" w:eastAsia="Times New Roman" w:hAnsiTheme="majorHAnsi" w:cstheme="majorHAnsi"/>
            <w:sz w:val="24"/>
            <w:szCs w:val="24"/>
          </w:rPr>
          <w:t>Appendix 4 DPR License Register 2020</w:t>
        </w:r>
      </w:hyperlink>
      <w:r w:rsidRPr="007E730F">
        <w:rPr>
          <w:rFonts w:asciiTheme="majorHAnsi" w:eastAsia="Times New Roman" w:hAnsiTheme="majorHAnsi" w:cstheme="majorHAnsi"/>
          <w:sz w:val="24"/>
          <w:szCs w:val="24"/>
        </w:rPr>
        <w:t>.</w:t>
      </w:r>
    </w:p>
    <w:p w14:paraId="7CBAFBC8" w14:textId="77777777" w:rsidR="004C5D47" w:rsidRDefault="004C5D47" w:rsidP="004C5D47">
      <w:pPr>
        <w:spacing w:after="0" w:line="240" w:lineRule="auto"/>
        <w:contextualSpacing/>
        <w:rPr>
          <w:rFonts w:asciiTheme="majorHAnsi" w:eastAsia="Times New Roman" w:hAnsiTheme="majorHAnsi" w:cstheme="majorHAnsi"/>
          <w:sz w:val="24"/>
          <w:szCs w:val="24"/>
        </w:rPr>
      </w:pPr>
    </w:p>
    <w:p w14:paraId="16ABC6DC" w14:textId="77777777" w:rsidR="00B328BD" w:rsidRPr="009B0BBD" w:rsidRDefault="00B328BD" w:rsidP="00B328BD">
      <w:pPr>
        <w:spacing w:after="0" w:line="240" w:lineRule="auto"/>
        <w:rPr>
          <w:rFonts w:asciiTheme="majorHAnsi" w:eastAsia="Times New Roman" w:hAnsiTheme="majorHAnsi" w:cstheme="majorHAnsi"/>
          <w:b/>
          <w:bCs/>
          <w:sz w:val="24"/>
          <w:szCs w:val="24"/>
        </w:rPr>
      </w:pPr>
      <w:r w:rsidRPr="009B0BBD">
        <w:rPr>
          <w:rFonts w:asciiTheme="majorHAnsi" w:eastAsia="Times New Roman" w:hAnsiTheme="majorHAnsi" w:cstheme="majorHAnsi"/>
          <w:b/>
          <w:bCs/>
          <w:sz w:val="24"/>
          <w:szCs w:val="24"/>
        </w:rPr>
        <w:t>Solid minerals</w:t>
      </w:r>
    </w:p>
    <w:p w14:paraId="56F8A862" w14:textId="77777777" w:rsidR="00B328BD" w:rsidRDefault="00B328BD" w:rsidP="00B328BD">
      <w:pPr>
        <w:spacing w:after="0" w:line="240" w:lineRule="auto"/>
        <w:rPr>
          <w:rFonts w:asciiTheme="majorHAnsi" w:eastAsia="Times New Roman" w:hAnsiTheme="majorHAnsi" w:cstheme="majorHAnsi"/>
          <w:sz w:val="24"/>
          <w:szCs w:val="24"/>
        </w:rPr>
      </w:pPr>
    </w:p>
    <w:p w14:paraId="1C6095DD" w14:textId="47A5A154" w:rsidR="00B328BD" w:rsidRDefault="00F20ACA"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In the solid minerals sector, t</w:t>
      </w:r>
      <w:r w:rsidR="00B328BD">
        <w:rPr>
          <w:rFonts w:asciiTheme="majorHAnsi" w:eastAsia="Times New Roman" w:hAnsiTheme="majorHAnsi" w:cstheme="majorHAnsi"/>
          <w:sz w:val="24"/>
          <w:szCs w:val="24"/>
        </w:rPr>
        <w:t xml:space="preserve">he full texts of CDAs signed between January 2021 and June 2022 can be found </w:t>
      </w:r>
      <w:hyperlink r:id="rId10" w:history="1">
        <w:r w:rsidR="00B328BD" w:rsidRPr="00DC2AE1">
          <w:rPr>
            <w:rStyle w:val="Hyperlink"/>
            <w:rFonts w:asciiTheme="majorHAnsi" w:eastAsia="Times New Roman" w:hAnsiTheme="majorHAnsi" w:cstheme="majorHAnsi"/>
            <w:sz w:val="24"/>
            <w:szCs w:val="24"/>
          </w:rPr>
          <w:t>here</w:t>
        </w:r>
      </w:hyperlink>
      <w:r w:rsidR="00DC2AE1">
        <w:rPr>
          <w:rFonts w:asciiTheme="majorHAnsi" w:eastAsia="Times New Roman" w:hAnsiTheme="majorHAnsi" w:cstheme="majorHAnsi"/>
          <w:sz w:val="24"/>
          <w:szCs w:val="24"/>
        </w:rPr>
        <w:t xml:space="preserve"> under the Contracts &amp; Agreements tab</w:t>
      </w:r>
      <w:r w:rsidR="00B328BD">
        <w:rPr>
          <w:rFonts w:asciiTheme="majorHAnsi" w:eastAsia="Times New Roman" w:hAnsiTheme="majorHAnsi" w:cstheme="majorHAnsi"/>
          <w:sz w:val="24"/>
          <w:szCs w:val="24"/>
        </w:rPr>
        <w:t xml:space="preserve">.  </w:t>
      </w:r>
    </w:p>
    <w:p w14:paraId="40620618" w14:textId="491135A5" w:rsidR="00B328BD" w:rsidRDefault="00F20ACA"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NSWG </w:t>
      </w:r>
      <w:r w:rsidR="0062694A">
        <w:rPr>
          <w:rFonts w:asciiTheme="majorHAnsi" w:eastAsia="Times New Roman" w:hAnsiTheme="majorHAnsi" w:cstheme="majorHAnsi"/>
          <w:sz w:val="24"/>
          <w:szCs w:val="24"/>
        </w:rPr>
        <w:t>notes further that o</w:t>
      </w:r>
      <w:r w:rsidR="00B328BD">
        <w:rPr>
          <w:rFonts w:asciiTheme="majorHAnsi" w:eastAsia="Times New Roman" w:hAnsiTheme="majorHAnsi" w:cstheme="majorHAnsi"/>
          <w:sz w:val="24"/>
          <w:szCs w:val="24"/>
        </w:rPr>
        <w:t>ne Memorandum of Understanding (MOU) has been signed</w:t>
      </w:r>
      <w:r w:rsidR="00B328BD" w:rsidRPr="007B1CAE">
        <w:rPr>
          <w:rFonts w:asciiTheme="majorHAnsi" w:eastAsia="Times New Roman" w:hAnsiTheme="majorHAnsi" w:cstheme="majorHAnsi"/>
          <w:sz w:val="24"/>
          <w:szCs w:val="24"/>
        </w:rPr>
        <w:t xml:space="preserve"> </w:t>
      </w:r>
      <w:r w:rsidR="00B328BD">
        <w:rPr>
          <w:rFonts w:asciiTheme="majorHAnsi" w:eastAsia="Times New Roman" w:hAnsiTheme="majorHAnsi" w:cstheme="majorHAnsi"/>
          <w:sz w:val="24"/>
          <w:szCs w:val="24"/>
        </w:rPr>
        <w:t xml:space="preserve">since </w:t>
      </w:r>
      <w:r w:rsidR="00B328BD" w:rsidRPr="007B1CAE">
        <w:rPr>
          <w:rFonts w:asciiTheme="majorHAnsi" w:eastAsia="Times New Roman" w:hAnsiTheme="majorHAnsi" w:cstheme="majorHAnsi"/>
          <w:sz w:val="24"/>
          <w:szCs w:val="24"/>
        </w:rPr>
        <w:t>January 1, 2021.</w:t>
      </w:r>
      <w:r w:rsidR="00B328BD">
        <w:rPr>
          <w:rFonts w:asciiTheme="majorHAnsi" w:eastAsia="Times New Roman" w:hAnsiTheme="majorHAnsi" w:cstheme="majorHAnsi"/>
          <w:sz w:val="24"/>
          <w:szCs w:val="24"/>
        </w:rPr>
        <w:t xml:space="preserve"> This was an MOU between the Nigerian and Turkish Governments for cooperation in the fields of mining and mineral resources (including </w:t>
      </w:r>
      <w:r w:rsidR="00B328BD" w:rsidRPr="005842F5">
        <w:rPr>
          <w:rFonts w:asciiTheme="majorHAnsi" w:eastAsia="Times New Roman" w:hAnsiTheme="majorHAnsi" w:cstheme="majorHAnsi"/>
          <w:i/>
          <w:iCs/>
          <w:sz w:val="24"/>
          <w:szCs w:val="24"/>
        </w:rPr>
        <w:t>joint mining activities on gold and other mineral</w:t>
      </w:r>
      <w:r w:rsidR="00B328BD">
        <w:rPr>
          <w:rFonts w:asciiTheme="majorHAnsi" w:eastAsia="Times New Roman" w:hAnsiTheme="majorHAnsi" w:cstheme="majorHAnsi"/>
          <w:sz w:val="24"/>
          <w:szCs w:val="24"/>
        </w:rPr>
        <w:t xml:space="preserve">s) and is currently in the implementation stage. The </w:t>
      </w:r>
      <w:r w:rsidR="007A7196">
        <w:rPr>
          <w:rFonts w:asciiTheme="majorHAnsi" w:eastAsia="Times New Roman" w:hAnsiTheme="majorHAnsi" w:cstheme="majorHAnsi"/>
          <w:sz w:val="24"/>
          <w:szCs w:val="24"/>
        </w:rPr>
        <w:t>NSWG</w:t>
      </w:r>
      <w:r w:rsidR="00B328BD">
        <w:rPr>
          <w:rFonts w:asciiTheme="majorHAnsi" w:eastAsia="Times New Roman" w:hAnsiTheme="majorHAnsi" w:cstheme="majorHAnsi"/>
          <w:sz w:val="24"/>
          <w:szCs w:val="24"/>
        </w:rPr>
        <w:t xml:space="preserve"> also confirmed </w:t>
      </w:r>
      <w:r w:rsidR="007A7196">
        <w:rPr>
          <w:rFonts w:asciiTheme="majorHAnsi" w:eastAsia="Times New Roman" w:hAnsiTheme="majorHAnsi" w:cstheme="majorHAnsi"/>
          <w:sz w:val="24"/>
          <w:szCs w:val="24"/>
        </w:rPr>
        <w:t xml:space="preserve">that </w:t>
      </w:r>
      <w:r w:rsidR="00B328BD">
        <w:rPr>
          <w:rFonts w:asciiTheme="majorHAnsi" w:eastAsia="Times New Roman" w:hAnsiTheme="majorHAnsi" w:cstheme="majorHAnsi"/>
          <w:sz w:val="24"/>
          <w:szCs w:val="24"/>
        </w:rPr>
        <w:t>any terms and conditions for any program or projects undertaken under this MOU will be signed in a separate agreement. As of 13</w:t>
      </w:r>
      <w:r w:rsidR="00B328BD" w:rsidRPr="003F1CC5">
        <w:rPr>
          <w:rFonts w:asciiTheme="majorHAnsi" w:eastAsia="Times New Roman" w:hAnsiTheme="majorHAnsi" w:cstheme="majorHAnsi"/>
          <w:sz w:val="24"/>
          <w:szCs w:val="24"/>
          <w:vertAlign w:val="superscript"/>
        </w:rPr>
        <w:t>th</w:t>
      </w:r>
      <w:r w:rsidR="00B328BD">
        <w:rPr>
          <w:rFonts w:asciiTheme="majorHAnsi" w:eastAsia="Times New Roman" w:hAnsiTheme="majorHAnsi" w:cstheme="majorHAnsi"/>
          <w:sz w:val="24"/>
          <w:szCs w:val="24"/>
        </w:rPr>
        <w:t xml:space="preserve"> September 2022, no such agreements have been signed on specific programs arising from this MOU. A list of MOUs signed as of January 2021</w:t>
      </w:r>
      <w:r w:rsidR="007A7196">
        <w:rPr>
          <w:rFonts w:asciiTheme="majorHAnsi" w:eastAsia="Times New Roman" w:hAnsiTheme="majorHAnsi" w:cstheme="majorHAnsi"/>
          <w:sz w:val="24"/>
          <w:szCs w:val="24"/>
        </w:rPr>
        <w:t xml:space="preserve"> are found</w:t>
      </w:r>
      <w:r w:rsidR="00B328BD">
        <w:rPr>
          <w:rFonts w:asciiTheme="majorHAnsi" w:eastAsia="Times New Roman" w:hAnsiTheme="majorHAnsi" w:cstheme="majorHAnsi"/>
          <w:sz w:val="24"/>
          <w:szCs w:val="24"/>
        </w:rPr>
        <w:t xml:space="preserve"> </w:t>
      </w:r>
      <w:hyperlink r:id="rId11" w:history="1">
        <w:r w:rsidR="00B328BD" w:rsidRPr="00DC2AE1">
          <w:rPr>
            <w:rStyle w:val="Hyperlink"/>
            <w:rFonts w:asciiTheme="majorHAnsi" w:eastAsia="Times New Roman" w:hAnsiTheme="majorHAnsi" w:cstheme="majorHAnsi"/>
            <w:sz w:val="24"/>
            <w:szCs w:val="24"/>
          </w:rPr>
          <w:t>here</w:t>
        </w:r>
      </w:hyperlink>
      <w:r w:rsidR="00B328BD">
        <w:rPr>
          <w:rFonts w:asciiTheme="majorHAnsi" w:eastAsia="Times New Roman" w:hAnsiTheme="majorHAnsi" w:cstheme="majorHAnsi"/>
          <w:sz w:val="24"/>
          <w:szCs w:val="24"/>
        </w:rPr>
        <w:t>.</w:t>
      </w:r>
      <w:r w:rsidR="00DC2AE1">
        <w:rPr>
          <w:rFonts w:asciiTheme="majorHAnsi" w:eastAsia="Times New Roman" w:hAnsiTheme="majorHAnsi" w:cstheme="majorHAnsi"/>
          <w:sz w:val="24"/>
          <w:szCs w:val="24"/>
        </w:rPr>
        <w:t xml:space="preserve"> A list of CDAs as at January 2021 can be found </w:t>
      </w:r>
      <w:hyperlink r:id="rId12" w:history="1">
        <w:r w:rsidR="00DC2AE1" w:rsidRPr="00DC2AE1">
          <w:rPr>
            <w:rStyle w:val="Hyperlink"/>
            <w:rFonts w:asciiTheme="majorHAnsi" w:eastAsia="Times New Roman" w:hAnsiTheme="majorHAnsi" w:cstheme="majorHAnsi"/>
            <w:sz w:val="24"/>
            <w:szCs w:val="24"/>
          </w:rPr>
          <w:t>here</w:t>
        </w:r>
      </w:hyperlink>
      <w:r w:rsidR="00DC2AE1">
        <w:rPr>
          <w:rFonts w:asciiTheme="majorHAnsi" w:eastAsia="Times New Roman" w:hAnsiTheme="majorHAnsi" w:cstheme="majorHAnsi"/>
          <w:sz w:val="24"/>
          <w:szCs w:val="24"/>
        </w:rPr>
        <w:t>.</w:t>
      </w:r>
    </w:p>
    <w:p w14:paraId="0B909326" w14:textId="3CC910AC" w:rsidR="00B328BD" w:rsidRPr="0062694A" w:rsidRDefault="0062694A" w:rsidP="00B328BD">
      <w:pPr>
        <w:jc w:val="both"/>
        <w:rPr>
          <w:rFonts w:asciiTheme="majorHAnsi" w:eastAsia="Times New Roman" w:hAnsiTheme="majorHAnsi" w:cstheme="majorHAnsi"/>
          <w:b/>
          <w:bCs/>
          <w:sz w:val="28"/>
          <w:szCs w:val="28"/>
        </w:rPr>
      </w:pPr>
      <w:r w:rsidRPr="0062694A">
        <w:rPr>
          <w:rFonts w:asciiTheme="majorHAnsi" w:eastAsia="Times New Roman" w:hAnsiTheme="majorHAnsi" w:cstheme="majorHAnsi"/>
          <w:b/>
          <w:bCs/>
          <w:sz w:val="28"/>
          <w:szCs w:val="28"/>
        </w:rPr>
        <w:t>Comprehensiveness of disclosures</w:t>
      </w:r>
    </w:p>
    <w:p w14:paraId="7E4426E6" w14:textId="77777777" w:rsidR="00B4331D" w:rsidRDefault="0062694A" w:rsidP="004C5D47">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NSWG notes that the Contract Transparency Implementation Committee included </w:t>
      </w:r>
      <w:r w:rsidR="00F20ACA">
        <w:rPr>
          <w:rFonts w:asciiTheme="majorHAnsi" w:eastAsia="Times New Roman" w:hAnsiTheme="majorHAnsi" w:cstheme="majorHAnsi"/>
          <w:sz w:val="24"/>
          <w:szCs w:val="24"/>
        </w:rPr>
        <w:t xml:space="preserve">representatives from </w:t>
      </w:r>
      <w:r>
        <w:rPr>
          <w:rFonts w:asciiTheme="majorHAnsi" w:eastAsia="Times New Roman" w:hAnsiTheme="majorHAnsi" w:cstheme="majorHAnsi"/>
          <w:sz w:val="24"/>
          <w:szCs w:val="24"/>
        </w:rPr>
        <w:t xml:space="preserve">all the relevant ministries, departments and agencies of government that are responsible for the negotiation and execution of contracts in the extractive sector, on behalf of the Government. This includes the Ministries of Petroleum Resources, Mines and Steel Development and Justice. It also includes the regulators in the extractive sector; the </w:t>
      </w:r>
      <w:r w:rsidR="00824093">
        <w:rPr>
          <w:rFonts w:asciiTheme="majorHAnsi" w:eastAsia="Times New Roman" w:hAnsiTheme="majorHAnsi" w:cstheme="majorHAnsi"/>
          <w:sz w:val="24"/>
          <w:szCs w:val="24"/>
        </w:rPr>
        <w:t>Nigeria Upstream</w:t>
      </w:r>
      <w:r w:rsidR="002C0EC3">
        <w:rPr>
          <w:rFonts w:asciiTheme="majorHAnsi" w:eastAsia="Times New Roman" w:hAnsiTheme="majorHAnsi" w:cstheme="majorHAnsi"/>
          <w:sz w:val="24"/>
          <w:szCs w:val="24"/>
        </w:rPr>
        <w:t xml:space="preserve"> Petroleum</w:t>
      </w:r>
      <w:r w:rsidR="00824093">
        <w:rPr>
          <w:rFonts w:asciiTheme="majorHAnsi" w:eastAsia="Times New Roman" w:hAnsiTheme="majorHAnsi" w:cstheme="majorHAnsi"/>
          <w:sz w:val="24"/>
          <w:szCs w:val="24"/>
        </w:rPr>
        <w:t xml:space="preserve"> Regulatory Commission</w:t>
      </w:r>
      <w:r>
        <w:rPr>
          <w:rFonts w:asciiTheme="majorHAnsi" w:eastAsia="Times New Roman" w:hAnsiTheme="majorHAnsi" w:cstheme="majorHAnsi"/>
          <w:sz w:val="24"/>
          <w:szCs w:val="24"/>
        </w:rPr>
        <w:t xml:space="preserve"> and the Mining Cadastral Office and the </w:t>
      </w:r>
      <w:r w:rsidR="00824093">
        <w:rPr>
          <w:rFonts w:asciiTheme="majorHAnsi" w:eastAsia="Times New Roman" w:hAnsiTheme="majorHAnsi" w:cstheme="majorHAnsi"/>
          <w:sz w:val="24"/>
          <w:szCs w:val="24"/>
        </w:rPr>
        <w:t>State-Owned</w:t>
      </w:r>
      <w:r>
        <w:rPr>
          <w:rFonts w:asciiTheme="majorHAnsi" w:eastAsia="Times New Roman" w:hAnsiTheme="majorHAnsi" w:cstheme="majorHAnsi"/>
          <w:sz w:val="24"/>
          <w:szCs w:val="24"/>
        </w:rPr>
        <w:t xml:space="preserve"> Enterprise, NNPC Limited.</w:t>
      </w:r>
      <w:r w:rsidR="00AE4514">
        <w:rPr>
          <w:rFonts w:asciiTheme="majorHAnsi" w:eastAsia="Times New Roman" w:hAnsiTheme="majorHAnsi" w:cstheme="majorHAnsi"/>
          <w:sz w:val="24"/>
          <w:szCs w:val="24"/>
        </w:rPr>
        <w:t xml:space="preserve"> </w:t>
      </w:r>
    </w:p>
    <w:p w14:paraId="1F54EED0" w14:textId="08FD737D" w:rsidR="004C5D47" w:rsidRDefault="00137A44" w:rsidP="004C5D47">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NSWG assessment is that not all contracts entered </w:t>
      </w:r>
      <w:r w:rsidR="004C5D47">
        <w:rPr>
          <w:rFonts w:asciiTheme="majorHAnsi" w:eastAsia="Times New Roman" w:hAnsiTheme="majorHAnsi" w:cstheme="majorHAnsi"/>
          <w:sz w:val="24"/>
          <w:szCs w:val="24"/>
        </w:rPr>
        <w:t>into or</w:t>
      </w:r>
      <w:r>
        <w:rPr>
          <w:rFonts w:asciiTheme="majorHAnsi" w:eastAsia="Times New Roman" w:hAnsiTheme="majorHAnsi" w:cstheme="majorHAnsi"/>
          <w:sz w:val="24"/>
          <w:szCs w:val="24"/>
        </w:rPr>
        <w:t xml:space="preserve"> amended </w:t>
      </w:r>
      <w:r w:rsidR="00103370">
        <w:rPr>
          <w:rFonts w:asciiTheme="majorHAnsi" w:eastAsia="Times New Roman" w:hAnsiTheme="majorHAnsi" w:cstheme="majorHAnsi"/>
          <w:sz w:val="24"/>
          <w:szCs w:val="24"/>
        </w:rPr>
        <w:t xml:space="preserve">in the oil and gas sector </w:t>
      </w:r>
      <w:r>
        <w:rPr>
          <w:rFonts w:asciiTheme="majorHAnsi" w:eastAsia="Times New Roman" w:hAnsiTheme="majorHAnsi" w:cstheme="majorHAnsi"/>
          <w:sz w:val="24"/>
          <w:szCs w:val="24"/>
        </w:rPr>
        <w:t xml:space="preserve">from January 1, 2021, to date have been publicly disclosed. </w:t>
      </w:r>
    </w:p>
    <w:p w14:paraId="6BC9B85C" w14:textId="2F0FE109" w:rsidR="004C5D47" w:rsidRPr="004C5D47" w:rsidRDefault="00137A44" w:rsidP="004C5D47">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It makes this assessment knowing that one of the contracts identified</w:t>
      </w:r>
      <w:r w:rsidR="00103370">
        <w:rPr>
          <w:rFonts w:asciiTheme="majorHAnsi" w:eastAsia="Times New Roman" w:hAnsiTheme="majorHAnsi" w:cstheme="majorHAnsi"/>
          <w:sz w:val="24"/>
          <w:szCs w:val="24"/>
        </w:rPr>
        <w:t xml:space="preserve"> by the Committee</w:t>
      </w:r>
      <w:r>
        <w:rPr>
          <w:rFonts w:asciiTheme="majorHAnsi" w:eastAsia="Times New Roman" w:hAnsiTheme="majorHAnsi" w:cstheme="majorHAnsi"/>
          <w:sz w:val="24"/>
          <w:szCs w:val="24"/>
        </w:rPr>
        <w:t xml:space="preserve">, </w:t>
      </w:r>
      <w:r w:rsidR="004C5D47">
        <w:rPr>
          <w:rFonts w:asciiTheme="majorHAnsi" w:eastAsia="Times New Roman" w:hAnsiTheme="majorHAnsi" w:cstheme="majorHAnsi"/>
          <w:sz w:val="24"/>
          <w:szCs w:val="24"/>
        </w:rPr>
        <w:t>i.e.,</w:t>
      </w:r>
      <w:r>
        <w:rPr>
          <w:rFonts w:asciiTheme="majorHAnsi" w:eastAsia="Times New Roman" w:hAnsiTheme="majorHAnsi" w:cstheme="majorHAnsi"/>
          <w:sz w:val="24"/>
          <w:szCs w:val="24"/>
        </w:rPr>
        <w:t xml:space="preserve"> the Deed of </w:t>
      </w:r>
      <w:r w:rsidR="004C5D47">
        <w:rPr>
          <w:rFonts w:asciiTheme="majorHAnsi" w:eastAsia="Times New Roman" w:hAnsiTheme="majorHAnsi" w:cstheme="majorHAnsi"/>
          <w:sz w:val="24"/>
          <w:szCs w:val="24"/>
        </w:rPr>
        <w:t>Assignment between</w:t>
      </w:r>
      <w:r w:rsidR="004C5D47" w:rsidRPr="004C5D47">
        <w:rPr>
          <w:rFonts w:asciiTheme="majorHAnsi" w:eastAsia="Times New Roman" w:hAnsiTheme="majorHAnsi" w:cstheme="majorHAnsi"/>
          <w:sz w:val="24"/>
          <w:szCs w:val="24"/>
        </w:rPr>
        <w:t xml:space="preserve"> CNL and NNPC in respect of OMLs 86 and 88</w:t>
      </w:r>
      <w:r w:rsidR="004C5D47">
        <w:rPr>
          <w:rFonts w:asciiTheme="majorHAnsi" w:eastAsia="Times New Roman" w:hAnsiTheme="majorHAnsi" w:cstheme="majorHAnsi"/>
          <w:sz w:val="24"/>
          <w:szCs w:val="24"/>
        </w:rPr>
        <w:t xml:space="preserve"> has not yet been disclosed. </w:t>
      </w:r>
    </w:p>
    <w:p w14:paraId="01270D6C" w14:textId="0A4FC1E7" w:rsidR="00824093" w:rsidRDefault="004C5D47" w:rsidP="00824093">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In addition, it</w:t>
      </w:r>
      <w:r w:rsidR="00824093">
        <w:rPr>
          <w:rFonts w:asciiTheme="majorHAnsi" w:eastAsia="Times New Roman" w:hAnsiTheme="majorHAnsi" w:cstheme="majorHAnsi"/>
          <w:sz w:val="24"/>
          <w:szCs w:val="24"/>
        </w:rPr>
        <w:t xml:space="preserve"> notes that </w:t>
      </w:r>
      <w:r w:rsidR="007E730F">
        <w:rPr>
          <w:rFonts w:asciiTheme="majorHAnsi" w:eastAsia="Times New Roman" w:hAnsiTheme="majorHAnsi" w:cstheme="majorHAnsi"/>
          <w:sz w:val="24"/>
          <w:szCs w:val="24"/>
        </w:rPr>
        <w:t>in 2022</w:t>
      </w:r>
      <w:r w:rsidR="00824093">
        <w:rPr>
          <w:rFonts w:asciiTheme="majorHAnsi" w:eastAsia="Times New Roman" w:hAnsiTheme="majorHAnsi" w:cstheme="majorHAnsi"/>
          <w:sz w:val="24"/>
          <w:szCs w:val="24"/>
        </w:rPr>
        <w:t xml:space="preserve">, 161 </w:t>
      </w:r>
      <w:hyperlink r:id="rId13" w:history="1">
        <w:r w:rsidR="00824093" w:rsidRPr="00D43807">
          <w:rPr>
            <w:rStyle w:val="Hyperlink"/>
            <w:rFonts w:asciiTheme="majorHAnsi" w:eastAsia="Times New Roman" w:hAnsiTheme="majorHAnsi" w:cstheme="majorHAnsi"/>
            <w:sz w:val="24"/>
            <w:szCs w:val="24"/>
          </w:rPr>
          <w:t>Petroleum Prospecting Licenses (PPLs)</w:t>
        </w:r>
      </w:hyperlink>
      <w:r w:rsidR="00824093">
        <w:rPr>
          <w:rFonts w:asciiTheme="majorHAnsi" w:eastAsia="Times New Roman" w:hAnsiTheme="majorHAnsi" w:cstheme="majorHAnsi"/>
          <w:sz w:val="24"/>
          <w:szCs w:val="24"/>
        </w:rPr>
        <w:t xml:space="preserve"> were </w:t>
      </w:r>
      <w:hyperlink r:id="rId14" w:history="1">
        <w:r w:rsidR="00824093" w:rsidRPr="00D43807">
          <w:rPr>
            <w:rStyle w:val="Hyperlink"/>
            <w:rFonts w:asciiTheme="majorHAnsi" w:eastAsia="Times New Roman" w:hAnsiTheme="majorHAnsi" w:cstheme="majorHAnsi"/>
            <w:sz w:val="24"/>
            <w:szCs w:val="24"/>
          </w:rPr>
          <w:t>awarded</w:t>
        </w:r>
      </w:hyperlink>
      <w:r w:rsidR="00824093">
        <w:rPr>
          <w:rFonts w:asciiTheme="majorHAnsi" w:eastAsia="Times New Roman" w:hAnsiTheme="majorHAnsi" w:cstheme="majorHAnsi"/>
          <w:sz w:val="24"/>
          <w:szCs w:val="24"/>
        </w:rPr>
        <w:t xml:space="preserve"> by</w:t>
      </w:r>
      <w:r w:rsidR="00824093" w:rsidRPr="00D43807">
        <w:rPr>
          <w:rFonts w:asciiTheme="majorHAnsi" w:eastAsia="Times New Roman" w:hAnsiTheme="majorHAnsi" w:cstheme="majorHAnsi"/>
          <w:sz w:val="24"/>
          <w:szCs w:val="24"/>
        </w:rPr>
        <w:t xml:space="preserve"> the Commission on conclusion of the 2020 Marginal Field Bid Round process</w:t>
      </w:r>
      <w:r w:rsidR="00824093">
        <w:rPr>
          <w:rFonts w:asciiTheme="majorHAnsi" w:eastAsia="Times New Roman" w:hAnsiTheme="majorHAnsi" w:cstheme="majorHAnsi"/>
          <w:sz w:val="24"/>
          <w:szCs w:val="24"/>
        </w:rPr>
        <w:t xml:space="preserve"> and 5 </w:t>
      </w:r>
      <w:hyperlink r:id="rId15" w:history="1">
        <w:r w:rsidR="00824093" w:rsidRPr="00D43807">
          <w:rPr>
            <w:rStyle w:val="Hyperlink"/>
            <w:rFonts w:asciiTheme="majorHAnsi" w:eastAsia="Times New Roman" w:hAnsiTheme="majorHAnsi" w:cstheme="majorHAnsi"/>
            <w:sz w:val="24"/>
            <w:szCs w:val="24"/>
          </w:rPr>
          <w:t>Petroleum Sharing Contracts (PSCs)</w:t>
        </w:r>
      </w:hyperlink>
      <w:r w:rsidR="00824093">
        <w:rPr>
          <w:rFonts w:asciiTheme="majorHAnsi" w:eastAsia="Times New Roman" w:hAnsiTheme="majorHAnsi" w:cstheme="majorHAnsi"/>
          <w:sz w:val="24"/>
          <w:szCs w:val="24"/>
        </w:rPr>
        <w:t xml:space="preserve"> were re-negotiated and renewed. They are</w:t>
      </w:r>
      <w:r w:rsidR="00B4331D">
        <w:rPr>
          <w:rFonts w:asciiTheme="majorHAnsi" w:eastAsia="Times New Roman" w:hAnsiTheme="majorHAnsi" w:cstheme="majorHAnsi"/>
          <w:sz w:val="24"/>
          <w:szCs w:val="24"/>
        </w:rPr>
        <w:t>:</w:t>
      </w:r>
    </w:p>
    <w:p w14:paraId="523A86BB" w14:textId="77777777" w:rsidR="00824093" w:rsidRDefault="00824093" w:rsidP="00824093">
      <w:pPr>
        <w:pStyle w:val="ListParagraph"/>
        <w:numPr>
          <w:ilvl w:val="0"/>
          <w:numId w:val="5"/>
        </w:numPr>
        <w:spacing w:after="0" w:line="240" w:lineRule="auto"/>
        <w:rPr>
          <w:rFonts w:asciiTheme="majorHAnsi" w:eastAsia="Times New Roman" w:hAnsiTheme="majorHAnsi" w:cstheme="majorHAnsi"/>
          <w:sz w:val="24"/>
          <w:szCs w:val="24"/>
        </w:rPr>
      </w:pPr>
      <w:r w:rsidRPr="00D43807">
        <w:rPr>
          <w:rFonts w:asciiTheme="majorHAnsi" w:eastAsia="Times New Roman" w:hAnsiTheme="majorHAnsi" w:cstheme="majorHAnsi"/>
          <w:sz w:val="24"/>
          <w:szCs w:val="24"/>
        </w:rPr>
        <w:t>161 Petroleum Prospecting Licenses</w:t>
      </w:r>
      <w:r>
        <w:rPr>
          <w:rFonts w:asciiTheme="majorHAnsi" w:eastAsia="Times New Roman" w:hAnsiTheme="majorHAnsi" w:cstheme="majorHAnsi"/>
          <w:sz w:val="24"/>
          <w:szCs w:val="24"/>
        </w:rPr>
        <w:t xml:space="preserve"> awarded in June 2022</w:t>
      </w:r>
    </w:p>
    <w:p w14:paraId="2A4F8B01" w14:textId="77777777" w:rsidR="00824093" w:rsidRDefault="00824093" w:rsidP="00824093">
      <w:pPr>
        <w:pStyle w:val="ListParagraph"/>
        <w:numPr>
          <w:ilvl w:val="0"/>
          <w:numId w:val="5"/>
        </w:numPr>
        <w:spacing w:after="0" w:line="240" w:lineRule="auto"/>
        <w:rPr>
          <w:rFonts w:asciiTheme="majorHAnsi" w:eastAsia="Times New Roman" w:hAnsiTheme="majorHAnsi" w:cstheme="majorHAnsi"/>
          <w:sz w:val="24"/>
          <w:szCs w:val="24"/>
        </w:rPr>
      </w:pPr>
      <w:r w:rsidRPr="008001D3">
        <w:rPr>
          <w:rFonts w:asciiTheme="majorHAnsi" w:eastAsia="Times New Roman" w:hAnsiTheme="majorHAnsi" w:cstheme="majorHAnsi"/>
          <w:sz w:val="24"/>
          <w:szCs w:val="24"/>
        </w:rPr>
        <w:t>Production Sharing Contract in respect of Oil Mining Lease (OML) 1</w:t>
      </w:r>
      <w:r>
        <w:rPr>
          <w:rFonts w:asciiTheme="majorHAnsi" w:eastAsia="Times New Roman" w:hAnsiTheme="majorHAnsi" w:cstheme="majorHAnsi"/>
          <w:sz w:val="24"/>
          <w:szCs w:val="24"/>
        </w:rPr>
        <w:t>2</w:t>
      </w:r>
      <w:r w:rsidRPr="008001D3">
        <w:rPr>
          <w:rFonts w:asciiTheme="majorHAnsi" w:eastAsia="Times New Roman" w:hAnsiTheme="majorHAnsi" w:cstheme="majorHAnsi"/>
          <w:sz w:val="24"/>
          <w:szCs w:val="24"/>
        </w:rPr>
        <w:t xml:space="preserve">8 executed in </w:t>
      </w:r>
      <w:r w:rsidRPr="00D43807">
        <w:rPr>
          <w:rFonts w:asciiTheme="majorHAnsi" w:eastAsia="Times New Roman" w:hAnsiTheme="majorHAnsi" w:cstheme="majorHAnsi"/>
          <w:sz w:val="24"/>
          <w:szCs w:val="24"/>
        </w:rPr>
        <w:t>August 2022</w:t>
      </w:r>
    </w:p>
    <w:p w14:paraId="489466DA" w14:textId="77777777" w:rsidR="00824093" w:rsidRPr="002A2D8F" w:rsidRDefault="00824093" w:rsidP="00824093">
      <w:pPr>
        <w:pStyle w:val="ListParagraph"/>
        <w:numPr>
          <w:ilvl w:val="0"/>
          <w:numId w:val="5"/>
        </w:numPr>
        <w:rPr>
          <w:rFonts w:asciiTheme="majorHAnsi" w:eastAsia="Times New Roman" w:hAnsiTheme="majorHAnsi" w:cstheme="majorHAnsi"/>
          <w:sz w:val="24"/>
          <w:szCs w:val="24"/>
        </w:rPr>
      </w:pPr>
      <w:r w:rsidRPr="002A2D8F">
        <w:rPr>
          <w:rFonts w:asciiTheme="majorHAnsi" w:eastAsia="Times New Roman" w:hAnsiTheme="majorHAnsi" w:cstheme="majorHAnsi"/>
          <w:sz w:val="24"/>
          <w:szCs w:val="24"/>
        </w:rPr>
        <w:t>Production Sharing Contract in respect of Oil Mining Lease (OML) 1</w:t>
      </w:r>
      <w:r>
        <w:rPr>
          <w:rFonts w:asciiTheme="majorHAnsi" w:eastAsia="Times New Roman" w:hAnsiTheme="majorHAnsi" w:cstheme="majorHAnsi"/>
          <w:sz w:val="24"/>
          <w:szCs w:val="24"/>
        </w:rPr>
        <w:t>30</w:t>
      </w:r>
      <w:r w:rsidRPr="002A2D8F">
        <w:rPr>
          <w:rFonts w:asciiTheme="majorHAnsi" w:eastAsia="Times New Roman" w:hAnsiTheme="majorHAnsi" w:cstheme="majorHAnsi"/>
          <w:sz w:val="24"/>
          <w:szCs w:val="24"/>
        </w:rPr>
        <w:t xml:space="preserve"> executed in August 2022</w:t>
      </w:r>
    </w:p>
    <w:p w14:paraId="003A8999" w14:textId="77777777" w:rsidR="00824093" w:rsidRPr="002A2D8F" w:rsidRDefault="00824093" w:rsidP="00824093">
      <w:pPr>
        <w:pStyle w:val="ListParagraph"/>
        <w:numPr>
          <w:ilvl w:val="0"/>
          <w:numId w:val="5"/>
        </w:numPr>
        <w:rPr>
          <w:rFonts w:asciiTheme="majorHAnsi" w:eastAsia="Times New Roman" w:hAnsiTheme="majorHAnsi" w:cstheme="majorHAnsi"/>
          <w:sz w:val="24"/>
          <w:szCs w:val="24"/>
        </w:rPr>
      </w:pPr>
      <w:r w:rsidRPr="002A2D8F">
        <w:rPr>
          <w:rFonts w:asciiTheme="majorHAnsi" w:eastAsia="Times New Roman" w:hAnsiTheme="majorHAnsi" w:cstheme="majorHAnsi"/>
          <w:sz w:val="24"/>
          <w:szCs w:val="24"/>
        </w:rPr>
        <w:t>Production Sharing Contract in respect of Oil Mining Lease (OML) 1</w:t>
      </w:r>
      <w:r>
        <w:rPr>
          <w:rFonts w:asciiTheme="majorHAnsi" w:eastAsia="Times New Roman" w:hAnsiTheme="majorHAnsi" w:cstheme="majorHAnsi"/>
          <w:sz w:val="24"/>
          <w:szCs w:val="24"/>
        </w:rPr>
        <w:t>32</w:t>
      </w:r>
      <w:r w:rsidRPr="002A2D8F">
        <w:rPr>
          <w:rFonts w:asciiTheme="majorHAnsi" w:eastAsia="Times New Roman" w:hAnsiTheme="majorHAnsi" w:cstheme="majorHAnsi"/>
          <w:sz w:val="24"/>
          <w:szCs w:val="24"/>
        </w:rPr>
        <w:t xml:space="preserve"> executed in August 2022</w:t>
      </w:r>
    </w:p>
    <w:p w14:paraId="60BD623C" w14:textId="77777777" w:rsidR="00824093" w:rsidRPr="002A2D8F" w:rsidRDefault="00824093" w:rsidP="00824093">
      <w:pPr>
        <w:pStyle w:val="ListParagraph"/>
        <w:numPr>
          <w:ilvl w:val="0"/>
          <w:numId w:val="5"/>
        </w:numPr>
        <w:rPr>
          <w:rFonts w:asciiTheme="majorHAnsi" w:eastAsia="Times New Roman" w:hAnsiTheme="majorHAnsi" w:cstheme="majorHAnsi"/>
          <w:sz w:val="24"/>
          <w:szCs w:val="24"/>
        </w:rPr>
      </w:pPr>
      <w:r w:rsidRPr="002A2D8F">
        <w:rPr>
          <w:rFonts w:asciiTheme="majorHAnsi" w:eastAsia="Times New Roman" w:hAnsiTheme="majorHAnsi" w:cstheme="majorHAnsi"/>
          <w:sz w:val="24"/>
          <w:szCs w:val="24"/>
        </w:rPr>
        <w:t>Production Sharing Contract in respect of Oil Mining Lease (OML) 1</w:t>
      </w:r>
      <w:r>
        <w:rPr>
          <w:rFonts w:asciiTheme="majorHAnsi" w:eastAsia="Times New Roman" w:hAnsiTheme="majorHAnsi" w:cstheme="majorHAnsi"/>
          <w:sz w:val="24"/>
          <w:szCs w:val="24"/>
        </w:rPr>
        <w:t>33</w:t>
      </w:r>
      <w:r w:rsidRPr="002A2D8F">
        <w:rPr>
          <w:rFonts w:asciiTheme="majorHAnsi" w:eastAsia="Times New Roman" w:hAnsiTheme="majorHAnsi" w:cstheme="majorHAnsi"/>
          <w:sz w:val="24"/>
          <w:szCs w:val="24"/>
        </w:rPr>
        <w:t xml:space="preserve"> executed in August 2022</w:t>
      </w:r>
    </w:p>
    <w:p w14:paraId="5C6E85B7" w14:textId="77777777" w:rsidR="00824093" w:rsidRPr="002A2D8F" w:rsidRDefault="00824093" w:rsidP="00824093">
      <w:pPr>
        <w:pStyle w:val="ListParagraph"/>
        <w:numPr>
          <w:ilvl w:val="0"/>
          <w:numId w:val="5"/>
        </w:numPr>
        <w:rPr>
          <w:rFonts w:asciiTheme="majorHAnsi" w:eastAsia="Times New Roman" w:hAnsiTheme="majorHAnsi" w:cstheme="majorHAnsi"/>
          <w:sz w:val="24"/>
          <w:szCs w:val="24"/>
        </w:rPr>
      </w:pPr>
      <w:r w:rsidRPr="002A2D8F">
        <w:rPr>
          <w:rFonts w:asciiTheme="majorHAnsi" w:eastAsia="Times New Roman" w:hAnsiTheme="majorHAnsi" w:cstheme="majorHAnsi"/>
          <w:sz w:val="24"/>
          <w:szCs w:val="24"/>
        </w:rPr>
        <w:t>Production Sharing Contract in respect of Oil Mining Lease (OML) 1</w:t>
      </w:r>
      <w:r>
        <w:rPr>
          <w:rFonts w:asciiTheme="majorHAnsi" w:eastAsia="Times New Roman" w:hAnsiTheme="majorHAnsi" w:cstheme="majorHAnsi"/>
          <w:sz w:val="24"/>
          <w:szCs w:val="24"/>
        </w:rPr>
        <w:t>38</w:t>
      </w:r>
      <w:r w:rsidRPr="002A2D8F">
        <w:rPr>
          <w:rFonts w:asciiTheme="majorHAnsi" w:eastAsia="Times New Roman" w:hAnsiTheme="majorHAnsi" w:cstheme="majorHAnsi"/>
          <w:sz w:val="24"/>
          <w:szCs w:val="24"/>
        </w:rPr>
        <w:t xml:space="preserve"> executed in August 2022</w:t>
      </w:r>
    </w:p>
    <w:p w14:paraId="46E8A675" w14:textId="6725E338" w:rsidR="00824093" w:rsidRDefault="00B4331D"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In the solid minerals sector, the NSWG assesses that the contracts disclosed are comprehensive. It notes that the Ministry of Mines and Steel Development, which is the institution solely responsible for supervising the negotiation and approval of CDAs in the sector provided the 30 CDAs signed in the period. It also provided the only MOU singed in the same period noting that no further agreements have been signed toward the implementation of the MOU as of July 2022.</w:t>
      </w:r>
      <w:r w:rsidR="00B23CB5">
        <w:rPr>
          <w:rFonts w:asciiTheme="majorHAnsi" w:eastAsia="Times New Roman" w:hAnsiTheme="majorHAnsi" w:cstheme="majorHAnsi"/>
          <w:sz w:val="24"/>
          <w:szCs w:val="24"/>
        </w:rPr>
        <w:t xml:space="preserve"> Letters conveying the same information can be found </w:t>
      </w:r>
      <w:hyperlink r:id="rId16" w:history="1">
        <w:r w:rsidR="00B23CB5" w:rsidRPr="00DC2AE1">
          <w:rPr>
            <w:rStyle w:val="Hyperlink"/>
            <w:rFonts w:asciiTheme="majorHAnsi" w:eastAsia="Times New Roman" w:hAnsiTheme="majorHAnsi" w:cstheme="majorHAnsi"/>
            <w:sz w:val="24"/>
            <w:szCs w:val="24"/>
          </w:rPr>
          <w:t>here</w:t>
        </w:r>
      </w:hyperlink>
      <w:r w:rsidR="00B23CB5">
        <w:rPr>
          <w:rFonts w:asciiTheme="majorHAnsi" w:eastAsia="Times New Roman" w:hAnsiTheme="majorHAnsi" w:cstheme="majorHAnsi"/>
          <w:sz w:val="24"/>
          <w:szCs w:val="24"/>
        </w:rPr>
        <w:t xml:space="preserve"> and </w:t>
      </w:r>
      <w:hyperlink r:id="rId17" w:history="1">
        <w:r w:rsidR="00B23CB5" w:rsidRPr="00DC2AE1">
          <w:rPr>
            <w:rStyle w:val="Hyperlink"/>
            <w:rFonts w:asciiTheme="majorHAnsi" w:eastAsia="Times New Roman" w:hAnsiTheme="majorHAnsi" w:cstheme="majorHAnsi"/>
            <w:sz w:val="24"/>
            <w:szCs w:val="24"/>
          </w:rPr>
          <w:t>here</w:t>
        </w:r>
      </w:hyperlink>
      <w:r w:rsidR="00B23CB5">
        <w:rPr>
          <w:rFonts w:asciiTheme="majorHAnsi" w:eastAsia="Times New Roman" w:hAnsiTheme="majorHAnsi" w:cstheme="majorHAnsi"/>
          <w:sz w:val="24"/>
          <w:szCs w:val="24"/>
        </w:rPr>
        <w:t>.</w:t>
      </w:r>
    </w:p>
    <w:p w14:paraId="355DA796" w14:textId="4CB35301" w:rsidR="00B4331D" w:rsidRPr="00CA45D4" w:rsidRDefault="00E11566" w:rsidP="00B328BD">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The NSWG resolves that in the oil and gas sector, it will follow up on the disclosure of cont</w:t>
      </w:r>
      <w:r w:rsidR="00B23CB5">
        <w:rPr>
          <w:rFonts w:asciiTheme="majorHAnsi" w:eastAsia="Times New Roman" w:hAnsiTheme="majorHAnsi" w:cstheme="majorHAnsi"/>
          <w:sz w:val="24"/>
          <w:szCs w:val="24"/>
        </w:rPr>
        <w:t>r</w:t>
      </w:r>
      <w:r>
        <w:rPr>
          <w:rFonts w:asciiTheme="majorHAnsi" w:eastAsia="Times New Roman" w:hAnsiTheme="majorHAnsi" w:cstheme="majorHAnsi"/>
          <w:sz w:val="24"/>
          <w:szCs w:val="24"/>
        </w:rPr>
        <w:t>acts that have been signed post PIA noting that the regulations governing those disclosures are yet to be finalized. It will also ensure that CDAs MOUs are published subsequently through the NEITI Solid Minerals Report.</w:t>
      </w:r>
    </w:p>
    <w:p w14:paraId="4469D6C5" w14:textId="77777777" w:rsidR="00B328BD" w:rsidRPr="00CA45D4" w:rsidRDefault="00B328BD" w:rsidP="00B328BD">
      <w:pPr>
        <w:jc w:val="both"/>
        <w:rPr>
          <w:rFonts w:asciiTheme="majorHAnsi" w:eastAsia="Times New Roman" w:hAnsiTheme="majorHAnsi" w:cstheme="majorHAnsi"/>
          <w:sz w:val="24"/>
          <w:szCs w:val="24"/>
        </w:rPr>
      </w:pPr>
    </w:p>
    <w:p w14:paraId="2B6125B9" w14:textId="77777777" w:rsidR="00B328BD" w:rsidRDefault="00B328BD" w:rsidP="00B328BD"/>
    <w:p w14:paraId="7D58A042" w14:textId="77777777" w:rsidR="00B328BD" w:rsidRDefault="00B328BD"/>
    <w:sectPr w:rsidR="00B328BD" w:rsidSect="007A3229">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0E95"/>
    <w:multiLevelType w:val="hybridMultilevel"/>
    <w:tmpl w:val="6108D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60DB7"/>
    <w:multiLevelType w:val="hybridMultilevel"/>
    <w:tmpl w:val="373693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5182F"/>
    <w:multiLevelType w:val="hybridMultilevel"/>
    <w:tmpl w:val="E5941BCE"/>
    <w:lvl w:ilvl="0" w:tplc="FBE06E04">
      <w:start w:val="1"/>
      <w:numFmt w:val="bullet"/>
      <w:lvlText w:val=""/>
      <w:lvlJc w:val="left"/>
      <w:pPr>
        <w:tabs>
          <w:tab w:val="num" w:pos="720"/>
        </w:tabs>
        <w:ind w:left="720" w:hanging="360"/>
      </w:pPr>
      <w:rPr>
        <w:rFonts w:ascii="Wingdings 3" w:hAnsi="Wingdings 3" w:hint="default"/>
      </w:rPr>
    </w:lvl>
    <w:lvl w:ilvl="1" w:tplc="E9EC82F0" w:tentative="1">
      <w:start w:val="1"/>
      <w:numFmt w:val="bullet"/>
      <w:lvlText w:val=""/>
      <w:lvlJc w:val="left"/>
      <w:pPr>
        <w:tabs>
          <w:tab w:val="num" w:pos="1440"/>
        </w:tabs>
        <w:ind w:left="1440" w:hanging="360"/>
      </w:pPr>
      <w:rPr>
        <w:rFonts w:ascii="Wingdings 3" w:hAnsi="Wingdings 3" w:hint="default"/>
      </w:rPr>
    </w:lvl>
    <w:lvl w:ilvl="2" w:tplc="AF387E5C" w:tentative="1">
      <w:start w:val="1"/>
      <w:numFmt w:val="bullet"/>
      <w:lvlText w:val=""/>
      <w:lvlJc w:val="left"/>
      <w:pPr>
        <w:tabs>
          <w:tab w:val="num" w:pos="2160"/>
        </w:tabs>
        <w:ind w:left="2160" w:hanging="360"/>
      </w:pPr>
      <w:rPr>
        <w:rFonts w:ascii="Wingdings 3" w:hAnsi="Wingdings 3" w:hint="default"/>
      </w:rPr>
    </w:lvl>
    <w:lvl w:ilvl="3" w:tplc="F000BE3A" w:tentative="1">
      <w:start w:val="1"/>
      <w:numFmt w:val="bullet"/>
      <w:lvlText w:val=""/>
      <w:lvlJc w:val="left"/>
      <w:pPr>
        <w:tabs>
          <w:tab w:val="num" w:pos="2880"/>
        </w:tabs>
        <w:ind w:left="2880" w:hanging="360"/>
      </w:pPr>
      <w:rPr>
        <w:rFonts w:ascii="Wingdings 3" w:hAnsi="Wingdings 3" w:hint="default"/>
      </w:rPr>
    </w:lvl>
    <w:lvl w:ilvl="4" w:tplc="44EC842E" w:tentative="1">
      <w:start w:val="1"/>
      <w:numFmt w:val="bullet"/>
      <w:lvlText w:val=""/>
      <w:lvlJc w:val="left"/>
      <w:pPr>
        <w:tabs>
          <w:tab w:val="num" w:pos="3600"/>
        </w:tabs>
        <w:ind w:left="3600" w:hanging="360"/>
      </w:pPr>
      <w:rPr>
        <w:rFonts w:ascii="Wingdings 3" w:hAnsi="Wingdings 3" w:hint="default"/>
      </w:rPr>
    </w:lvl>
    <w:lvl w:ilvl="5" w:tplc="785E1FBE" w:tentative="1">
      <w:start w:val="1"/>
      <w:numFmt w:val="bullet"/>
      <w:lvlText w:val=""/>
      <w:lvlJc w:val="left"/>
      <w:pPr>
        <w:tabs>
          <w:tab w:val="num" w:pos="4320"/>
        </w:tabs>
        <w:ind w:left="4320" w:hanging="360"/>
      </w:pPr>
      <w:rPr>
        <w:rFonts w:ascii="Wingdings 3" w:hAnsi="Wingdings 3" w:hint="default"/>
      </w:rPr>
    </w:lvl>
    <w:lvl w:ilvl="6" w:tplc="204A3950" w:tentative="1">
      <w:start w:val="1"/>
      <w:numFmt w:val="bullet"/>
      <w:lvlText w:val=""/>
      <w:lvlJc w:val="left"/>
      <w:pPr>
        <w:tabs>
          <w:tab w:val="num" w:pos="5040"/>
        </w:tabs>
        <w:ind w:left="5040" w:hanging="360"/>
      </w:pPr>
      <w:rPr>
        <w:rFonts w:ascii="Wingdings 3" w:hAnsi="Wingdings 3" w:hint="default"/>
      </w:rPr>
    </w:lvl>
    <w:lvl w:ilvl="7" w:tplc="3412F74A" w:tentative="1">
      <w:start w:val="1"/>
      <w:numFmt w:val="bullet"/>
      <w:lvlText w:val=""/>
      <w:lvlJc w:val="left"/>
      <w:pPr>
        <w:tabs>
          <w:tab w:val="num" w:pos="5760"/>
        </w:tabs>
        <w:ind w:left="5760" w:hanging="360"/>
      </w:pPr>
      <w:rPr>
        <w:rFonts w:ascii="Wingdings 3" w:hAnsi="Wingdings 3" w:hint="default"/>
      </w:rPr>
    </w:lvl>
    <w:lvl w:ilvl="8" w:tplc="8540681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A664706"/>
    <w:multiLevelType w:val="hybridMultilevel"/>
    <w:tmpl w:val="0E8A0A9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5716FE"/>
    <w:multiLevelType w:val="hybridMultilevel"/>
    <w:tmpl w:val="6108DD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0937821">
    <w:abstractNumId w:val="2"/>
  </w:num>
  <w:num w:numId="2" w16cid:durableId="197469029">
    <w:abstractNumId w:val="0"/>
  </w:num>
  <w:num w:numId="3" w16cid:durableId="238946099">
    <w:abstractNumId w:val="3"/>
  </w:num>
  <w:num w:numId="4" w16cid:durableId="1740640326">
    <w:abstractNumId w:val="1"/>
  </w:num>
  <w:num w:numId="5" w16cid:durableId="1107433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BD"/>
    <w:rsid w:val="00103370"/>
    <w:rsid w:val="00137A44"/>
    <w:rsid w:val="002A2D8F"/>
    <w:rsid w:val="002B7817"/>
    <w:rsid w:val="002C0EC3"/>
    <w:rsid w:val="00342CAC"/>
    <w:rsid w:val="00392FEE"/>
    <w:rsid w:val="003A629D"/>
    <w:rsid w:val="004C5D47"/>
    <w:rsid w:val="0054410F"/>
    <w:rsid w:val="0062694A"/>
    <w:rsid w:val="007A7196"/>
    <w:rsid w:val="007E730F"/>
    <w:rsid w:val="00824093"/>
    <w:rsid w:val="00881659"/>
    <w:rsid w:val="009A6A9C"/>
    <w:rsid w:val="00A401D5"/>
    <w:rsid w:val="00A661DC"/>
    <w:rsid w:val="00A97878"/>
    <w:rsid w:val="00AE4514"/>
    <w:rsid w:val="00B23CB5"/>
    <w:rsid w:val="00B328BD"/>
    <w:rsid w:val="00B4331D"/>
    <w:rsid w:val="00BD5847"/>
    <w:rsid w:val="00BE7AC7"/>
    <w:rsid w:val="00C0183B"/>
    <w:rsid w:val="00D3440B"/>
    <w:rsid w:val="00D43807"/>
    <w:rsid w:val="00D86BE0"/>
    <w:rsid w:val="00DC2AE1"/>
    <w:rsid w:val="00DF0DE6"/>
    <w:rsid w:val="00E11566"/>
    <w:rsid w:val="00F2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669A"/>
  <w15:chartTrackingRefBased/>
  <w15:docId w15:val="{1E65782F-F459-4D7D-A9DA-1258C11B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8B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8BD"/>
    <w:pPr>
      <w:ind w:left="720"/>
      <w:contextualSpacing/>
    </w:pPr>
  </w:style>
  <w:style w:type="character" w:styleId="Hyperlink">
    <w:name w:val="Hyperlink"/>
    <w:basedOn w:val="DefaultParagraphFont"/>
    <w:uiPriority w:val="99"/>
    <w:unhideWhenUsed/>
    <w:rsid w:val="00B328BD"/>
    <w:rPr>
      <w:color w:val="0563C1" w:themeColor="hyperlink"/>
      <w:u w:val="single"/>
    </w:rPr>
  </w:style>
  <w:style w:type="paragraph" w:styleId="NoSpacing">
    <w:name w:val="No Spacing"/>
    <w:link w:val="NoSpacingChar"/>
    <w:uiPriority w:val="1"/>
    <w:qFormat/>
    <w:rsid w:val="00B328BD"/>
    <w:pPr>
      <w:spacing w:after="0" w:line="240" w:lineRule="auto"/>
    </w:pPr>
    <w:rPr>
      <w:rFonts w:eastAsiaTheme="minorEastAsia"/>
    </w:rPr>
  </w:style>
  <w:style w:type="character" w:customStyle="1" w:styleId="NoSpacingChar">
    <w:name w:val="No Spacing Char"/>
    <w:basedOn w:val="DefaultParagraphFont"/>
    <w:link w:val="NoSpacing"/>
    <w:uiPriority w:val="1"/>
    <w:rsid w:val="00B328BD"/>
    <w:rPr>
      <w:rFonts w:eastAsiaTheme="minorEastAsia"/>
    </w:rPr>
  </w:style>
  <w:style w:type="character" w:styleId="UnresolvedMention">
    <w:name w:val="Unresolved Mention"/>
    <w:basedOn w:val="DefaultParagraphFont"/>
    <w:uiPriority w:val="99"/>
    <w:semiHidden/>
    <w:unhideWhenUsed/>
    <w:rsid w:val="00D3440B"/>
    <w:rPr>
      <w:color w:val="605E5C"/>
      <w:shd w:val="clear" w:color="auto" w:fill="E1DFDD"/>
    </w:rPr>
  </w:style>
  <w:style w:type="character" w:styleId="FollowedHyperlink">
    <w:name w:val="FollowedHyperlink"/>
    <w:basedOn w:val="DefaultParagraphFont"/>
    <w:uiPriority w:val="99"/>
    <w:semiHidden/>
    <w:unhideWhenUsed/>
    <w:rsid w:val="00D86B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npcgroup.com/insights/nnpc-ltd-contracts" TargetMode="External"/><Relationship Id="rId13" Type="http://schemas.openxmlformats.org/officeDocument/2006/relationships/hyperlink" Target="https://www.thecable.ng/marginal-fields-nuprc-awards-licences-to-161-companies-rakes-n200bn-7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iti.gov.ng/cms/wp-content/uploads/2022/12/Letter-of-Confirmation.pdf" TargetMode="External"/><Relationship Id="rId12" Type="http://schemas.openxmlformats.org/officeDocument/2006/relationships/hyperlink" Target="https://neiti.gov.ng/cms/wp-content/uploads/2022/12/List-of-active-approved-CDA-as-at-January-2021.pdf" TargetMode="External"/><Relationship Id="rId17" Type="http://schemas.openxmlformats.org/officeDocument/2006/relationships/hyperlink" Target="https://neiti.gov.ng/cms/wp-content/uploads/2022/12/Letter-conveying-CDAS.pdf" TargetMode="External"/><Relationship Id="rId2" Type="http://schemas.openxmlformats.org/officeDocument/2006/relationships/styles" Target="styles.xml"/><Relationship Id="rId16" Type="http://schemas.openxmlformats.org/officeDocument/2006/relationships/hyperlink" Target="https://neiti.gov.ng/cms/wp-content/uploads/2022/12/Letter-conveying-lists.pdf" TargetMode="External"/><Relationship Id="rId1" Type="http://schemas.openxmlformats.org/officeDocument/2006/relationships/numbering" Target="numbering.xml"/><Relationship Id="rId6" Type="http://schemas.openxmlformats.org/officeDocument/2006/relationships/hyperlink" Target="https://neiti.gov.ng/cms/wp-content/uploads/2022/12/Contract-Transparency-Implementation-Plan.docx" TargetMode="External"/><Relationship Id="rId11" Type="http://schemas.openxmlformats.org/officeDocument/2006/relationships/hyperlink" Target="https://neiti.gov.ng/cms/wp-content/uploads/2022/12/List-of-active-MOUs-as-at-January-2021.pdf" TargetMode="External"/><Relationship Id="rId5" Type="http://schemas.openxmlformats.org/officeDocument/2006/relationships/image" Target="media/image1.png"/><Relationship Id="rId15" Type="http://schemas.openxmlformats.org/officeDocument/2006/relationships/hyperlink" Target="https://www.nnpcgroup.com/insights/nnpc-ltd-psc-contractors-resolve-disputes-renew-psc-leases" TargetMode="External"/><Relationship Id="rId10" Type="http://schemas.openxmlformats.org/officeDocument/2006/relationships/hyperlink" Target="https://neiti.gov.ng/validation/20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iti.gov.ng/cms/wp-content/uploads/2022/12/Appendix-4-DPR-License-Register-2020.xlsx" TargetMode="External"/><Relationship Id="rId14" Type="http://schemas.openxmlformats.org/officeDocument/2006/relationships/hyperlink" Target="https://www.nuprc.gov.ng/press-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4</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subject/>
  <dc:creator>Asmau Dahiru</dc:creator>
  <cp:keywords/>
  <dc:description/>
  <cp:lastModifiedBy>Asmau Dahiru</cp:lastModifiedBy>
  <cp:revision>8</cp:revision>
  <dcterms:created xsi:type="dcterms:W3CDTF">2022-11-25T10:03:00Z</dcterms:created>
  <dcterms:modified xsi:type="dcterms:W3CDTF">2022-12-19T13:18:00Z</dcterms:modified>
</cp:coreProperties>
</file>