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BA4" w:rsidRPr="00524825" w:rsidRDefault="00C84BA4" w:rsidP="00C84BA4">
      <w:pPr>
        <w:pStyle w:val="Default"/>
        <w:spacing w:line="276" w:lineRule="auto"/>
        <w:jc w:val="both"/>
        <w:rPr>
          <w:rFonts w:ascii="Arial" w:hAnsi="Arial" w:cs="Arial"/>
          <w:b/>
          <w:color w:val="auto"/>
        </w:rPr>
      </w:pPr>
    </w:p>
    <w:p w:rsidR="00C84BA4" w:rsidRPr="00C84BA4" w:rsidRDefault="00C84BA4" w:rsidP="00D17045">
      <w:pPr>
        <w:autoSpaceDE w:val="0"/>
        <w:autoSpaceDN w:val="0"/>
        <w:adjustRightInd w:val="0"/>
        <w:jc w:val="both"/>
        <w:rPr>
          <w:rFonts w:ascii="Arial" w:hAnsi="Arial" w:cs="Arial"/>
          <w:b/>
          <w:sz w:val="24"/>
          <w:szCs w:val="24"/>
        </w:rPr>
      </w:pPr>
      <w:r w:rsidRPr="00C84BA4">
        <w:rPr>
          <w:rFonts w:ascii="Arial" w:hAnsi="Arial" w:cs="Arial"/>
          <w:b/>
          <w:sz w:val="24"/>
          <w:szCs w:val="24"/>
        </w:rPr>
        <w:t>LICENSING, LEASING AND CONTRACTS IN THE JDZ</w:t>
      </w:r>
      <w:r w:rsidR="0016178F">
        <w:rPr>
          <w:rFonts w:ascii="Arial" w:hAnsi="Arial" w:cs="Arial"/>
          <w:b/>
          <w:sz w:val="24"/>
          <w:szCs w:val="24"/>
        </w:rPr>
        <w:t xml:space="preserve"> UNDER THE NIGERIA SAOTOME JOINT DEVELOPMENT ZONE PETROLEUM REGULATION 2003</w:t>
      </w: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Regulations 3 General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3.1 No petroleum activities may be undertaken in the Zone except pursuant to and in accordance with the provisions of the licenses, leases and contracts in these regulations.</w:t>
      </w:r>
    </w:p>
    <w:p w:rsidR="00C84BA4"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3.2 All acreage in the Joint Development Zone including Oil Prospecting Licenses and all Oil Mining Leases derived there from within the Zone shall be held on behalf of the States Parties by the Joint Development Authority. </w:t>
      </w:r>
    </w:p>
    <w:p w:rsidR="00A2098B" w:rsidRPr="00524825" w:rsidRDefault="00A2098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Joint Development Authority:</w:t>
      </w:r>
    </w:p>
    <w:p w:rsidR="00C84BA4" w:rsidRPr="00524825" w:rsidRDefault="00C84BA4" w:rsidP="00C84BA4">
      <w:pPr>
        <w:pStyle w:val="Default"/>
        <w:numPr>
          <w:ilvl w:val="0"/>
          <w:numId w:val="2"/>
        </w:numPr>
        <w:spacing w:line="276" w:lineRule="auto"/>
        <w:jc w:val="both"/>
        <w:rPr>
          <w:rFonts w:ascii="Arial" w:hAnsi="Arial" w:cs="Arial"/>
          <w:color w:val="auto"/>
        </w:rPr>
      </w:pPr>
      <w:r w:rsidRPr="00524825">
        <w:rPr>
          <w:rFonts w:ascii="Arial" w:hAnsi="Arial" w:cs="Arial"/>
          <w:color w:val="auto"/>
        </w:rPr>
        <w:t>Shall exercise general supervision over all operations carried on under licenses, leases and contracts granted under these regulations</w:t>
      </w:r>
    </w:p>
    <w:p w:rsidR="00C84BA4" w:rsidRPr="00524825" w:rsidRDefault="00C84BA4" w:rsidP="00C84BA4">
      <w:pPr>
        <w:pStyle w:val="Default"/>
        <w:numPr>
          <w:ilvl w:val="0"/>
          <w:numId w:val="2"/>
        </w:numPr>
        <w:spacing w:line="276" w:lineRule="auto"/>
        <w:jc w:val="both"/>
        <w:rPr>
          <w:rFonts w:ascii="Arial" w:hAnsi="Arial" w:cs="Arial"/>
          <w:color w:val="auto"/>
        </w:rPr>
      </w:pPr>
      <w:r w:rsidRPr="00524825">
        <w:rPr>
          <w:rFonts w:ascii="Arial" w:hAnsi="Arial" w:cs="Arial"/>
          <w:color w:val="auto"/>
        </w:rPr>
        <w:t>Shall have access at all times to the areas covered by exploration licenses, oil prospecting licenses and oil mining leases, and to installations which are subject to these and any other regulations, for the purpose of inspecting the operations conducted therein and enforcing the provisions of and any regulations made there under and the conditions of any licenses or leases granted under these Regulations;</w:t>
      </w:r>
    </w:p>
    <w:p w:rsidR="00C84BA4" w:rsidRPr="00524825" w:rsidRDefault="006F505F" w:rsidP="00C84BA4">
      <w:pPr>
        <w:pStyle w:val="Default"/>
        <w:numPr>
          <w:ilvl w:val="0"/>
          <w:numId w:val="2"/>
        </w:numPr>
        <w:spacing w:line="276" w:lineRule="auto"/>
        <w:jc w:val="both"/>
        <w:rPr>
          <w:rFonts w:ascii="Arial" w:hAnsi="Arial" w:cs="Arial"/>
          <w:color w:val="auto"/>
        </w:rPr>
      </w:pPr>
      <w:r>
        <w:rPr>
          <w:rFonts w:ascii="Arial" w:hAnsi="Arial" w:cs="Arial"/>
          <w:color w:val="auto"/>
        </w:rPr>
        <w:t>May by</w:t>
      </w:r>
      <w:r w:rsidR="00C84BA4" w:rsidRPr="00524825">
        <w:rPr>
          <w:rFonts w:ascii="Arial" w:hAnsi="Arial" w:cs="Arial"/>
          <w:color w:val="auto"/>
        </w:rPr>
        <w:t xml:space="preserve"> notice in writing require the holder of a license or lease granted under these regulations or any contactor working for the holder (or any servant or agent of the holder or the contractor) to appear before it at a reasonable time and place to give such information as it may require about the operations being conducted under the license, lease or contract, and every person required so appear shall be legally bound to comply with the notice and give the information </w:t>
      </w:r>
    </w:p>
    <w:p w:rsidR="00C84BA4" w:rsidRPr="00524825" w:rsidRDefault="00C84BA4" w:rsidP="00C84BA4">
      <w:pPr>
        <w:pStyle w:val="Default"/>
        <w:numPr>
          <w:ilvl w:val="0"/>
          <w:numId w:val="2"/>
        </w:numPr>
        <w:spacing w:line="276" w:lineRule="auto"/>
        <w:jc w:val="both"/>
        <w:rPr>
          <w:rFonts w:ascii="Arial" w:hAnsi="Arial" w:cs="Arial"/>
          <w:color w:val="auto"/>
        </w:rPr>
      </w:pPr>
      <w:r w:rsidRPr="00524825">
        <w:rPr>
          <w:rFonts w:ascii="Arial" w:hAnsi="Arial" w:cs="Arial"/>
          <w:color w:val="auto"/>
        </w:rPr>
        <w:t xml:space="preserve">May direct in writing that operations under a license, lease or contract granted under these regulations be suspended in any area until arrangements have been made which in its opinion are necessary to prevent danger to life and property. </w:t>
      </w:r>
    </w:p>
    <w:p w:rsidR="00C84BA4" w:rsidRPr="00524825" w:rsidRDefault="00C84BA4" w:rsidP="00C84BA4">
      <w:pPr>
        <w:pStyle w:val="Default"/>
        <w:numPr>
          <w:ilvl w:val="0"/>
          <w:numId w:val="2"/>
        </w:numPr>
        <w:spacing w:line="276" w:lineRule="auto"/>
        <w:jc w:val="both"/>
        <w:rPr>
          <w:rFonts w:ascii="Arial" w:hAnsi="Arial" w:cs="Arial"/>
          <w:color w:val="auto"/>
        </w:rPr>
      </w:pPr>
      <w:r w:rsidRPr="00524825">
        <w:rPr>
          <w:rFonts w:ascii="Arial" w:hAnsi="Arial" w:cs="Arial"/>
          <w:color w:val="auto"/>
        </w:rPr>
        <w:t xml:space="preserve">May direct in writing the suspension of any operations which in its opinions are not being conducted in accordance with good oil field practice </w:t>
      </w:r>
    </w:p>
    <w:p w:rsidR="00C84BA4" w:rsidRPr="00524825" w:rsidRDefault="00C84BA4" w:rsidP="00C84BA4">
      <w:pPr>
        <w:pStyle w:val="Default"/>
        <w:numPr>
          <w:ilvl w:val="0"/>
          <w:numId w:val="2"/>
        </w:numPr>
        <w:spacing w:line="276" w:lineRule="auto"/>
        <w:jc w:val="both"/>
        <w:rPr>
          <w:rFonts w:ascii="Arial" w:hAnsi="Arial" w:cs="Arial"/>
          <w:color w:val="auto"/>
        </w:rPr>
      </w:pPr>
      <w:r w:rsidRPr="00524825">
        <w:rPr>
          <w:rFonts w:ascii="Arial" w:hAnsi="Arial" w:cs="Arial"/>
          <w:color w:val="auto"/>
        </w:rPr>
        <w:t>May direct in writing the suspension of any operations where in its opinion a contravention of these regulations or any other regulations has been or is likely to be committed; and</w:t>
      </w:r>
    </w:p>
    <w:p w:rsidR="00C84BA4" w:rsidRPr="00524825" w:rsidRDefault="00A10CCA" w:rsidP="00C84BA4">
      <w:pPr>
        <w:pStyle w:val="Default"/>
        <w:numPr>
          <w:ilvl w:val="0"/>
          <w:numId w:val="2"/>
        </w:numPr>
        <w:spacing w:line="276" w:lineRule="auto"/>
        <w:jc w:val="both"/>
        <w:rPr>
          <w:rFonts w:ascii="Arial" w:hAnsi="Arial" w:cs="Arial"/>
          <w:color w:val="auto"/>
        </w:rPr>
      </w:pPr>
      <w:r>
        <w:rPr>
          <w:rFonts w:ascii="Arial" w:hAnsi="Arial" w:cs="Arial"/>
          <w:color w:val="auto"/>
        </w:rPr>
        <w:t>Shall have powers of arrest.</w:t>
      </w:r>
    </w:p>
    <w:p w:rsidR="00C84BA4" w:rsidRPr="00524825" w:rsidRDefault="00C84BA4"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4 – Division of the zone into blocks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4.1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In order to facilitate the licensing of the petroleum development activities in the zone, the zone shall have been divided by the authorities into a series of blocks of appropriate</w:t>
      </w:r>
      <w:r w:rsidR="006F505F">
        <w:rPr>
          <w:rFonts w:ascii="Arial" w:hAnsi="Arial" w:cs="Arial"/>
          <w:color w:val="auto"/>
        </w:rPr>
        <w:t xml:space="preserve"> </w:t>
      </w:r>
      <w:r w:rsidR="006F505F">
        <w:rPr>
          <w:rFonts w:ascii="Arial" w:hAnsi="Arial" w:cs="Arial"/>
          <w:color w:val="auto"/>
        </w:rPr>
        <w:lastRenderedPageBreak/>
        <w:t>dimension</w:t>
      </w:r>
      <w:r w:rsidRPr="00524825">
        <w:rPr>
          <w:rFonts w:ascii="Arial" w:hAnsi="Arial" w:cs="Arial"/>
          <w:color w:val="auto"/>
        </w:rPr>
        <w:t xml:space="preserve"> for the grant of OPLs as specified in regulation 7. Each such block shall be allocated by a discrete identifying number </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4.2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Except where necessary in order to correspond to the boundaries of the zone, the boundaries of each such block shall be defined by meridians of longitude of integral multiples of 5 minutes (reference the meridian of Greenwich) and by parallels of latitude of integral multiples of 5 (reference the Equator).</w:t>
      </w:r>
    </w:p>
    <w:p w:rsidR="006F505F" w:rsidRDefault="006F505F"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4.3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foregoing provisions of this Regulation shall be without prejudice to the provisions of paragraph 6 of Regulation 5.</w:t>
      </w:r>
    </w:p>
    <w:p w:rsidR="00C84BA4" w:rsidRPr="00524825" w:rsidRDefault="00C84BA4"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5 – Licenses, Leases and Production Sharing Contracts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Subject to these Regulations and the approval of the council, the Authority may grant:</w:t>
      </w:r>
    </w:p>
    <w:p w:rsidR="00C84BA4" w:rsidRPr="00524825" w:rsidRDefault="00C84BA4" w:rsidP="00C84BA4">
      <w:pPr>
        <w:pStyle w:val="Default"/>
        <w:numPr>
          <w:ilvl w:val="0"/>
          <w:numId w:val="3"/>
        </w:numPr>
        <w:spacing w:line="276" w:lineRule="auto"/>
        <w:jc w:val="both"/>
        <w:rPr>
          <w:rFonts w:ascii="Arial" w:hAnsi="Arial" w:cs="Arial"/>
          <w:color w:val="auto"/>
        </w:rPr>
      </w:pPr>
      <w:r w:rsidRPr="00524825">
        <w:rPr>
          <w:rFonts w:ascii="Arial" w:hAnsi="Arial" w:cs="Arial"/>
          <w:color w:val="auto"/>
        </w:rPr>
        <w:t xml:space="preserve">An Exploration License </w:t>
      </w:r>
    </w:p>
    <w:p w:rsidR="00C84BA4" w:rsidRPr="00524825" w:rsidRDefault="00C84BA4" w:rsidP="00C84BA4">
      <w:pPr>
        <w:pStyle w:val="Default"/>
        <w:numPr>
          <w:ilvl w:val="0"/>
          <w:numId w:val="3"/>
        </w:numPr>
        <w:spacing w:line="276" w:lineRule="auto"/>
        <w:jc w:val="both"/>
        <w:rPr>
          <w:rFonts w:ascii="Arial" w:hAnsi="Arial" w:cs="Arial"/>
          <w:color w:val="auto"/>
        </w:rPr>
      </w:pPr>
      <w:r w:rsidRPr="00524825">
        <w:rPr>
          <w:rFonts w:ascii="Arial" w:hAnsi="Arial" w:cs="Arial"/>
          <w:color w:val="auto"/>
        </w:rPr>
        <w:t>An Oil Prospecting License;</w:t>
      </w:r>
    </w:p>
    <w:p w:rsidR="00C84BA4" w:rsidRPr="00524825" w:rsidRDefault="00C84BA4" w:rsidP="00C84BA4">
      <w:pPr>
        <w:pStyle w:val="Default"/>
        <w:numPr>
          <w:ilvl w:val="0"/>
          <w:numId w:val="3"/>
        </w:numPr>
        <w:spacing w:line="276" w:lineRule="auto"/>
        <w:jc w:val="both"/>
        <w:rPr>
          <w:rFonts w:ascii="Arial" w:hAnsi="Arial" w:cs="Arial"/>
          <w:color w:val="auto"/>
        </w:rPr>
      </w:pPr>
      <w:r w:rsidRPr="00524825">
        <w:rPr>
          <w:rFonts w:ascii="Arial" w:hAnsi="Arial" w:cs="Arial"/>
          <w:color w:val="auto"/>
        </w:rPr>
        <w:t>An Oil Mining License;</w:t>
      </w:r>
    </w:p>
    <w:p w:rsidR="00C84BA4" w:rsidRPr="00524825" w:rsidRDefault="00C84BA4" w:rsidP="00C84BA4">
      <w:pPr>
        <w:pStyle w:val="Default"/>
        <w:numPr>
          <w:ilvl w:val="0"/>
          <w:numId w:val="3"/>
        </w:numPr>
        <w:spacing w:line="276" w:lineRule="auto"/>
        <w:jc w:val="both"/>
        <w:rPr>
          <w:rFonts w:ascii="Arial" w:hAnsi="Arial" w:cs="Arial"/>
          <w:color w:val="auto"/>
        </w:rPr>
      </w:pPr>
      <w:r w:rsidRPr="00524825">
        <w:rPr>
          <w:rFonts w:ascii="Arial" w:hAnsi="Arial" w:cs="Arial"/>
          <w:color w:val="auto"/>
        </w:rPr>
        <w:t xml:space="preserve">Production Sharing Contract </w:t>
      </w:r>
    </w:p>
    <w:p w:rsidR="006F505F" w:rsidRDefault="006F505F"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Exploration Licenses cover the acquisition of speculative geophysical surveys </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Unless the council otherwise directs, an OPL, EL, OML or PSC may be granted under these regulations only to:</w:t>
      </w:r>
    </w:p>
    <w:p w:rsidR="00C84BA4" w:rsidRPr="00524825" w:rsidRDefault="00C84BA4" w:rsidP="00C84BA4">
      <w:pPr>
        <w:pStyle w:val="Default"/>
        <w:numPr>
          <w:ilvl w:val="0"/>
          <w:numId w:val="4"/>
        </w:numPr>
        <w:spacing w:line="276" w:lineRule="auto"/>
        <w:jc w:val="both"/>
        <w:rPr>
          <w:rFonts w:ascii="Arial" w:hAnsi="Arial" w:cs="Arial"/>
          <w:color w:val="auto"/>
        </w:rPr>
      </w:pPr>
      <w:r w:rsidRPr="00524825">
        <w:rPr>
          <w:rFonts w:ascii="Arial" w:hAnsi="Arial" w:cs="Arial"/>
          <w:color w:val="auto"/>
        </w:rPr>
        <w:t>A company incorporated in and u</w:t>
      </w:r>
      <w:r w:rsidR="006F505F">
        <w:rPr>
          <w:rFonts w:ascii="Arial" w:hAnsi="Arial" w:cs="Arial"/>
          <w:color w:val="auto"/>
        </w:rPr>
        <w:t>nder the laws of Nigeria and Sao</w:t>
      </w:r>
      <w:r w:rsidRPr="00524825">
        <w:rPr>
          <w:rFonts w:ascii="Arial" w:hAnsi="Arial" w:cs="Arial"/>
          <w:color w:val="auto"/>
        </w:rPr>
        <w:t xml:space="preserve"> Tome and Principe; or</w:t>
      </w:r>
    </w:p>
    <w:p w:rsidR="00C84BA4" w:rsidRPr="00524825" w:rsidRDefault="006F505F" w:rsidP="00C84BA4">
      <w:pPr>
        <w:pStyle w:val="Default"/>
        <w:numPr>
          <w:ilvl w:val="0"/>
          <w:numId w:val="4"/>
        </w:numPr>
        <w:spacing w:line="276" w:lineRule="auto"/>
        <w:jc w:val="both"/>
        <w:rPr>
          <w:rFonts w:ascii="Arial" w:hAnsi="Arial" w:cs="Arial"/>
          <w:color w:val="auto"/>
        </w:rPr>
      </w:pPr>
      <w:r>
        <w:rPr>
          <w:rFonts w:ascii="Arial" w:hAnsi="Arial" w:cs="Arial"/>
          <w:color w:val="auto"/>
        </w:rPr>
        <w:t>A company registered</w:t>
      </w:r>
      <w:r w:rsidR="00C84BA4" w:rsidRPr="00524825">
        <w:rPr>
          <w:rFonts w:ascii="Arial" w:hAnsi="Arial" w:cs="Arial"/>
          <w:color w:val="auto"/>
        </w:rPr>
        <w:t xml:space="preserve"> and under the laws of Nigeria and Sau Tome and Principe. </w:t>
      </w:r>
    </w:p>
    <w:p w:rsidR="006F505F" w:rsidRDefault="006F505F"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5.4 </w:t>
      </w:r>
    </w:p>
    <w:p w:rsidR="00C84BA4" w:rsidRPr="00524825" w:rsidRDefault="006F505F" w:rsidP="00C84BA4">
      <w:pPr>
        <w:pStyle w:val="Default"/>
        <w:spacing w:line="276" w:lineRule="auto"/>
        <w:jc w:val="both"/>
        <w:rPr>
          <w:rFonts w:ascii="Arial" w:hAnsi="Arial" w:cs="Arial"/>
          <w:color w:val="auto"/>
        </w:rPr>
      </w:pPr>
      <w:r>
        <w:rPr>
          <w:rFonts w:ascii="Arial" w:hAnsi="Arial" w:cs="Arial"/>
          <w:color w:val="auto"/>
        </w:rPr>
        <w:t>Activities in block in</w:t>
      </w:r>
      <w:r w:rsidR="00C84BA4" w:rsidRPr="00524825">
        <w:rPr>
          <w:rFonts w:ascii="Arial" w:hAnsi="Arial" w:cs="Arial"/>
          <w:color w:val="auto"/>
        </w:rPr>
        <w:t xml:space="preserve"> question shall, for the duration of such OPL or OML, be governed by such License or Lease and a Production Sharing Contract</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5.5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area of an OPL and any OPL derived there shall be defined by a series of coordinates (latitude, longitude) as specified in Regulation 4 and shall form a compact unit.</w:t>
      </w:r>
    </w:p>
    <w:p w:rsidR="00B16E7B" w:rsidRDefault="00B16E7B" w:rsidP="00C84BA4">
      <w:pPr>
        <w:pStyle w:val="Default"/>
        <w:spacing w:line="276" w:lineRule="auto"/>
        <w:jc w:val="both"/>
        <w:rPr>
          <w:rFonts w:ascii="Arial" w:hAnsi="Arial" w:cs="Arial"/>
          <w:color w:val="auto"/>
        </w:rPr>
      </w:pPr>
    </w:p>
    <w:p w:rsidR="00D17045" w:rsidRDefault="00D17045" w:rsidP="00C84BA4">
      <w:pPr>
        <w:pStyle w:val="Default"/>
        <w:spacing w:line="276" w:lineRule="auto"/>
        <w:jc w:val="both"/>
        <w:rPr>
          <w:rFonts w:ascii="Arial" w:hAnsi="Arial" w:cs="Arial"/>
          <w:color w:val="auto"/>
        </w:rPr>
      </w:pPr>
    </w:p>
    <w:p w:rsidR="00D17045" w:rsidRDefault="00D17045"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5.6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In creating an OML from an OPL the authority may re-designate Block for the purpose of creating a unit specifically corresponding to the area of the OML.</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5.7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Where there is provision may relinquishment or surrender of part of the relevant area of License or Lease, the relinquishment or surrender shall that the retained part is a compact unit as provided by paragraph 4 and paragraph 5 of this Regulation; and the License, Lease or Contractor shall obtain the prior agreement of the Authority as to shape and area of the retained part agreement of the relinquishment or surrender is made to the Authority.</w:t>
      </w:r>
    </w:p>
    <w:p w:rsidR="00C84BA4" w:rsidRPr="00524825" w:rsidRDefault="00C84BA4"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6 – Exploration License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6.1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An Exploration License (EL) grants rights to the License to undertake acquisition of speculative geophysical surveys in the area of License. Save where the exploration License expressly provides otherwise, the grant of an Exploration License in respect of any area shall not preclude the grant of another License or over the same area or any part thereof.</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6.2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Duration termination and renewal of an Exploration License shall be governed by its terms.</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6.3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An Exploration License shall not confer any right to the grant of an OPL or OML.</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6.4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License shall procure that at all times its activities under an Exploration License shall be supervised continuously by a qualified personnel and shall be carried out to the satisfaction of the Authority.</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7 – Oil prospecting License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7.1 </w:t>
      </w:r>
    </w:p>
    <w:p w:rsidR="00C84BA4"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An Oil Prospecting License (OPL) grants the License the exclusive right to explore and prospect for petroleum within the area of his License. The License of an OPL may carry away and dispose of petroleum won during the term of an OPL, subject to the fulfillment </w:t>
      </w:r>
      <w:r w:rsidRPr="00524825">
        <w:rPr>
          <w:rFonts w:ascii="Arial" w:hAnsi="Arial" w:cs="Arial"/>
          <w:color w:val="auto"/>
        </w:rPr>
        <w:lastRenderedPageBreak/>
        <w:t>of all obligations imposed upon it by or under the terms of an OPL, these Regulations, the Petroleum Tax Regulations or any other applicable law or regulation.</w:t>
      </w:r>
    </w:p>
    <w:p w:rsidR="00D17045" w:rsidRPr="00524825" w:rsidRDefault="00D17045"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7.2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OPLs should have a maximum period of 8 years. This period is divided into sub-periods that can be entered into in accordance with the provisions of the respective PSC</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7.3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License of an OPL shall be entitled to apply in writing to the Authority, not less than six months before the expiration of the License, for its renewal.</w:t>
      </w:r>
    </w:p>
    <w:p w:rsidR="00C84BA4" w:rsidRPr="00524825" w:rsidRDefault="00C84BA4"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8 – Oil Mining Leases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8.1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An Oil Mining Lease (OML) grants the lessee the exclusive right, within the leased area, to explore, produce and carry away for export otherwise petroleum discovered.</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8.2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term of an OML shall not exceed 20 years, may be renewed in accordance with the respective PSC.</w:t>
      </w:r>
    </w:p>
    <w:p w:rsidR="00C84BA4" w:rsidRPr="00524825" w:rsidRDefault="00C84BA4"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9 – Production Sharing Contracts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9.1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may, with the approval of the Joint Ministerial Co</w:t>
      </w:r>
      <w:r w:rsidR="006F505F">
        <w:rPr>
          <w:rFonts w:ascii="Arial" w:hAnsi="Arial" w:cs="Arial"/>
          <w:color w:val="auto"/>
        </w:rPr>
        <w:t>uncil, enter into a PSC. Such a</w:t>
      </w:r>
      <w:r w:rsidRPr="00524825">
        <w:rPr>
          <w:rFonts w:ascii="Arial" w:hAnsi="Arial" w:cs="Arial"/>
          <w:color w:val="auto"/>
        </w:rPr>
        <w:t xml:space="preserve"> PSC may be entered into only with a contractor which is a company incorporated or registered in Nigeria or in Sao Tome e Principe.</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9.2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Subject to such – paragraph 9.3 below, a PSC shall be in accordance with its terms </w:t>
      </w:r>
      <w:proofErr w:type="gramStart"/>
      <w:r w:rsidRPr="00524825">
        <w:rPr>
          <w:rFonts w:ascii="Arial" w:hAnsi="Arial" w:cs="Arial"/>
          <w:color w:val="auto"/>
        </w:rPr>
        <w:t>confer</w:t>
      </w:r>
      <w:proofErr w:type="gramEnd"/>
      <w:r w:rsidRPr="00524825">
        <w:rPr>
          <w:rFonts w:ascii="Arial" w:hAnsi="Arial" w:cs="Arial"/>
          <w:color w:val="auto"/>
        </w:rPr>
        <w:t xml:space="preserve"> upon the PSC Contractor the exclusive right and responsibility to undertake petroleum activities in the area of the OPL in question.</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9.3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Each Contractor shall be under a direct obligation to the Authority, by virtue of this Regulation, to observe and perform all obligations accruing, prior to the termination of the PSC, in respect of the relevant License or Lease, under all relevant laws and regulations (including without limitation the present Regulations and the terms of such Licenses or Leases)</w:t>
      </w:r>
    </w:p>
    <w:p w:rsidR="00B16E7B" w:rsidRDefault="00B16E7B" w:rsidP="00C84BA4">
      <w:pPr>
        <w:pStyle w:val="Default"/>
        <w:spacing w:line="276" w:lineRule="auto"/>
        <w:jc w:val="both"/>
        <w:rPr>
          <w:rFonts w:ascii="Arial" w:hAnsi="Arial" w:cs="Arial"/>
          <w:color w:val="auto"/>
        </w:rPr>
      </w:pPr>
    </w:p>
    <w:p w:rsidR="00F05553" w:rsidRDefault="00F05553" w:rsidP="00C84BA4">
      <w:pPr>
        <w:pStyle w:val="Default"/>
        <w:spacing w:line="276" w:lineRule="auto"/>
        <w:jc w:val="both"/>
        <w:rPr>
          <w:rFonts w:ascii="Arial" w:hAnsi="Arial" w:cs="Arial"/>
          <w:color w:val="auto"/>
        </w:rPr>
      </w:pPr>
    </w:p>
    <w:p w:rsidR="00F05553" w:rsidRDefault="00F05553"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lastRenderedPageBreak/>
        <w:t xml:space="preserve">9.4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Every PSC shall contain express undertaking by the Contractor to the Authority to observe and perform all such obligations, but in the absence of any such provision such express undertakings shall be implied.</w:t>
      </w:r>
    </w:p>
    <w:p w:rsidR="00B16E7B" w:rsidRDefault="00B16E7B" w:rsidP="00C84BA4">
      <w:pPr>
        <w:pStyle w:val="Default"/>
        <w:spacing w:line="276" w:lineRule="auto"/>
        <w:jc w:val="both"/>
        <w:rPr>
          <w:rFonts w:ascii="Arial" w:hAnsi="Arial" w:cs="Arial"/>
          <w:color w:val="auto"/>
        </w:rPr>
      </w:pPr>
    </w:p>
    <w:p w:rsidR="00D17045" w:rsidRDefault="00D17045"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9.5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Whenever, in relation to any License or Lease to which a PSC relates, an event occurs which, whether or not a breach of the terms of such License or Lease or the related PSC, entitles the Authority by virtue of these Regulations or any other provisions to do any act or thing, or take any step against the License, Lessee or Contractor, the authority shall by virtue of this paragraph be entitled to do the same or a corresponding act or thing, or take the same or a corresponding step, against the relevant PSC Contractor in respect of the PSC</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9.6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Unless the Joint Ministerial Council otherwise consents no PSC shall be entered into by the Authority except following a process if competitive tendering associated with a licensing round, as provided for in Regulation 10 </w:t>
      </w:r>
    </w:p>
    <w:p w:rsidR="00B16E7B" w:rsidRDefault="00B16E7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9.7 </w:t>
      </w:r>
    </w:p>
    <w:p w:rsidR="00C84BA4" w:rsidRDefault="00C84BA4" w:rsidP="00C84BA4">
      <w:pPr>
        <w:pStyle w:val="Default"/>
        <w:spacing w:line="276" w:lineRule="auto"/>
        <w:jc w:val="both"/>
        <w:rPr>
          <w:rFonts w:ascii="Arial" w:hAnsi="Arial" w:cs="Arial"/>
          <w:color w:val="auto"/>
        </w:rPr>
      </w:pPr>
      <w:r w:rsidRPr="00524825">
        <w:rPr>
          <w:rFonts w:ascii="Arial" w:hAnsi="Arial" w:cs="Arial"/>
          <w:color w:val="auto"/>
        </w:rPr>
        <w:t>A model PSC as approved by the Joint Ministerial Council shall form the basis for any PSC to enter into by the Authority.</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10 Licensing Rounds and Tendering Processes</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10.1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All tender agreements shall be subject to a process of competitive bidding in licensing rounds, in accordance with Regulation 11 to 15 below.</w:t>
      </w:r>
    </w:p>
    <w:p w:rsidR="00C84BA4"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10.2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For the purposes of this Regulation “Tender Agreement” means:</w:t>
      </w:r>
    </w:p>
    <w:p w:rsidR="00C84BA4" w:rsidRPr="00524825" w:rsidRDefault="00C84BA4" w:rsidP="00C84BA4">
      <w:pPr>
        <w:pStyle w:val="Default"/>
        <w:numPr>
          <w:ilvl w:val="0"/>
          <w:numId w:val="5"/>
        </w:numPr>
        <w:spacing w:line="276" w:lineRule="auto"/>
        <w:jc w:val="both"/>
        <w:rPr>
          <w:rFonts w:ascii="Arial" w:hAnsi="Arial" w:cs="Arial"/>
          <w:color w:val="auto"/>
        </w:rPr>
      </w:pPr>
      <w:r w:rsidRPr="00524825">
        <w:rPr>
          <w:rFonts w:ascii="Arial" w:hAnsi="Arial" w:cs="Arial"/>
          <w:color w:val="auto"/>
        </w:rPr>
        <w:t>PSC’s awarded in respect of OPL’s held by the Joint Development Authority; and</w:t>
      </w:r>
    </w:p>
    <w:p w:rsidR="00C84BA4" w:rsidRPr="00524825" w:rsidRDefault="00C84BA4" w:rsidP="00C84BA4">
      <w:pPr>
        <w:pStyle w:val="Default"/>
        <w:numPr>
          <w:ilvl w:val="0"/>
          <w:numId w:val="5"/>
        </w:numPr>
        <w:spacing w:line="276" w:lineRule="auto"/>
        <w:jc w:val="both"/>
        <w:rPr>
          <w:rFonts w:ascii="Arial" w:hAnsi="Arial" w:cs="Arial"/>
          <w:color w:val="auto"/>
        </w:rPr>
      </w:pPr>
      <w:r w:rsidRPr="00524825">
        <w:rPr>
          <w:rFonts w:ascii="Arial" w:hAnsi="Arial" w:cs="Arial"/>
          <w:color w:val="auto"/>
        </w:rPr>
        <w:t>OMLs awarded pursuant to paragraph 2 of Regulation 16.</w:t>
      </w:r>
    </w:p>
    <w:p w:rsidR="00C84BA4" w:rsidRPr="00524825" w:rsidRDefault="00C84BA4"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11 – Invitations to bid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11.1 The tender process shall begin by the Authority inviting tenders. The invitation for applications shall specify:</w:t>
      </w:r>
    </w:p>
    <w:p w:rsidR="00C84BA4" w:rsidRPr="00524825" w:rsidRDefault="00C84BA4" w:rsidP="00C84BA4">
      <w:pPr>
        <w:pStyle w:val="Default"/>
        <w:numPr>
          <w:ilvl w:val="0"/>
          <w:numId w:val="6"/>
        </w:numPr>
        <w:spacing w:line="276" w:lineRule="auto"/>
        <w:jc w:val="both"/>
        <w:rPr>
          <w:rFonts w:ascii="Arial" w:hAnsi="Arial" w:cs="Arial"/>
          <w:color w:val="auto"/>
        </w:rPr>
      </w:pPr>
      <w:r w:rsidRPr="00524825">
        <w:rPr>
          <w:rFonts w:ascii="Arial" w:hAnsi="Arial" w:cs="Arial"/>
          <w:color w:val="auto"/>
        </w:rPr>
        <w:t>The Block or Blocks over which rights are to be granted;</w:t>
      </w:r>
    </w:p>
    <w:p w:rsidR="00C84BA4" w:rsidRPr="00524825" w:rsidRDefault="00C84BA4" w:rsidP="00C84BA4">
      <w:pPr>
        <w:pStyle w:val="Default"/>
        <w:numPr>
          <w:ilvl w:val="0"/>
          <w:numId w:val="6"/>
        </w:numPr>
        <w:spacing w:line="276" w:lineRule="auto"/>
        <w:jc w:val="both"/>
        <w:rPr>
          <w:rFonts w:ascii="Arial" w:hAnsi="Arial" w:cs="Arial"/>
          <w:color w:val="auto"/>
        </w:rPr>
      </w:pPr>
      <w:r w:rsidRPr="00524825">
        <w:rPr>
          <w:rFonts w:ascii="Arial" w:hAnsi="Arial" w:cs="Arial"/>
          <w:color w:val="auto"/>
        </w:rPr>
        <w:t>The bidding system to apply;</w:t>
      </w:r>
    </w:p>
    <w:p w:rsidR="00C84BA4" w:rsidRPr="00524825" w:rsidRDefault="00C84BA4" w:rsidP="00C84BA4">
      <w:pPr>
        <w:pStyle w:val="Default"/>
        <w:numPr>
          <w:ilvl w:val="0"/>
          <w:numId w:val="6"/>
        </w:numPr>
        <w:spacing w:line="276" w:lineRule="auto"/>
        <w:jc w:val="both"/>
        <w:rPr>
          <w:rFonts w:ascii="Arial" w:hAnsi="Arial" w:cs="Arial"/>
          <w:color w:val="auto"/>
        </w:rPr>
      </w:pPr>
      <w:r w:rsidRPr="00524825">
        <w:rPr>
          <w:rFonts w:ascii="Arial" w:hAnsi="Arial" w:cs="Arial"/>
          <w:color w:val="auto"/>
        </w:rPr>
        <w:t>The basis on which bids shall be assessed;</w:t>
      </w:r>
    </w:p>
    <w:p w:rsidR="00C84BA4" w:rsidRPr="00524825" w:rsidRDefault="00C84BA4" w:rsidP="00C84BA4">
      <w:pPr>
        <w:pStyle w:val="Default"/>
        <w:numPr>
          <w:ilvl w:val="0"/>
          <w:numId w:val="6"/>
        </w:numPr>
        <w:spacing w:line="276" w:lineRule="auto"/>
        <w:jc w:val="both"/>
        <w:rPr>
          <w:rFonts w:ascii="Arial" w:hAnsi="Arial" w:cs="Arial"/>
          <w:color w:val="auto"/>
        </w:rPr>
      </w:pPr>
      <w:r w:rsidRPr="00524825">
        <w:rPr>
          <w:rFonts w:ascii="Arial" w:hAnsi="Arial" w:cs="Arial"/>
          <w:color w:val="auto"/>
        </w:rPr>
        <w:lastRenderedPageBreak/>
        <w:t xml:space="preserve">Details of the Tender Agreement to be entered into, including the rights and responsibilities of the parties thereto; and </w:t>
      </w:r>
    </w:p>
    <w:p w:rsidR="00C84BA4" w:rsidRDefault="00C84BA4" w:rsidP="00C84BA4">
      <w:pPr>
        <w:pStyle w:val="Default"/>
        <w:numPr>
          <w:ilvl w:val="0"/>
          <w:numId w:val="6"/>
        </w:numPr>
        <w:spacing w:line="276" w:lineRule="auto"/>
        <w:jc w:val="both"/>
        <w:rPr>
          <w:rFonts w:ascii="Arial" w:hAnsi="Arial" w:cs="Arial"/>
          <w:color w:val="auto"/>
        </w:rPr>
      </w:pPr>
      <w:r w:rsidRPr="00524825">
        <w:rPr>
          <w:rFonts w:ascii="Arial" w:hAnsi="Arial" w:cs="Arial"/>
          <w:color w:val="auto"/>
        </w:rPr>
        <w:t>The period within which applications may be made.</w:t>
      </w:r>
    </w:p>
    <w:p w:rsidR="00D17045" w:rsidRPr="00524825" w:rsidRDefault="00D17045" w:rsidP="00D17045">
      <w:pPr>
        <w:pStyle w:val="Default"/>
        <w:spacing w:line="276" w:lineRule="auto"/>
        <w:jc w:val="both"/>
        <w:rPr>
          <w:rFonts w:ascii="Arial" w:hAnsi="Arial" w:cs="Arial"/>
          <w:color w:val="auto"/>
        </w:rPr>
      </w:pPr>
    </w:p>
    <w:p w:rsidR="00C84BA4"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11.2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Details of the invitation for applications shall be published in the national daily press in both States Parties and in such other ways, if any, as the Authority decides.</w:t>
      </w:r>
    </w:p>
    <w:p w:rsidR="00106F2A" w:rsidRDefault="00106F2A" w:rsidP="00C84BA4">
      <w:pPr>
        <w:pStyle w:val="Default"/>
        <w:spacing w:line="276" w:lineRule="auto"/>
        <w:jc w:val="both"/>
        <w:rPr>
          <w:rFonts w:ascii="Arial" w:hAnsi="Arial" w:cs="Arial"/>
          <w:color w:val="auto"/>
        </w:rPr>
      </w:pPr>
    </w:p>
    <w:p w:rsidR="00106F2A"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11.3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may make a charge for supplying the bid package to prospective bidders (bid package or application fee) and may also charge for the evaluation of bid packages (processing fee).</w:t>
      </w:r>
    </w:p>
    <w:p w:rsidR="00B16E7B" w:rsidRDefault="00B16E7B"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12- Consideration of applications</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12.1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Tender Agreements shall be offered in accordance with the published criteria stated by the authority at the time of publicizing the relevant biding round.</w:t>
      </w:r>
    </w:p>
    <w:p w:rsidR="00C84BA4"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12.2  </w:t>
      </w:r>
    </w:p>
    <w:p w:rsidR="00C84BA4"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shall set out formal guidelines for tendering. Those guidelines will include, inter alia, information as to the basis on which applications will be considered and the relevant criteria which applicants will be considered and the relevant criteria which applicants will be expected to meet.</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12.3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Guidelines for acreage bidding in accordance with the regulations shall be prepared by the Authority and approved by the Joint Ministerial Council. These Guidelines shall apply unless and until revised or substituted by the Authority.</w:t>
      </w:r>
    </w:p>
    <w:p w:rsidR="00C84BA4"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12.4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principal criteria for the consideration of applications shall be technical and financial capability, work program commitment and the proposed signature bonus.</w:t>
      </w:r>
    </w:p>
    <w:p w:rsidR="00C84BA4"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12.5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It shall accordingly be condition of the award of any Tender Agreement that the Authority is satisfied that the applicant has the necessary financial capability, and also the necessary technical knowledge and ability, to carry out petroleum operations in a manner consistent with the terms and conditions of the Tender Agreement, these Regulations and all other applicable laws and regulations.</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13 – Form of Applications by competitive Tender</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13.1</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Every application for a Tender Agreement shall be made to the Authority in writing on the appropriate form supplied with the bid package.</w:t>
      </w:r>
    </w:p>
    <w:p w:rsidR="00A2098B" w:rsidRDefault="00A2098B"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13.2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Every application shall be accompanied by:</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The prescribed processing fee as set out in Regulation 23 (the fee in question not being refundable under any circumstances);</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Evidence of the financial status and technical competence of the applicant;</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Details of the work which the applicant is prepared to undertake a program for carrying out any minimum working obligations imposed;</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The signature bonus offered by the applicant;</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Details of the annual expenditure which the applicant is prepared to make in the area applied for;</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The date on which he is prepared to begin operations after the grant of the Tender Agreement to which the application relates;</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 xml:space="preserve">Details of a specific scheme for the recruitment and training of nationals of the state Parties </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 xml:space="preserve">Annual reports in respect of the applicants (or its technical partners) oil exploration and production activities in the preceding three years; and </w:t>
      </w:r>
    </w:p>
    <w:p w:rsidR="00C84BA4" w:rsidRPr="00524825" w:rsidRDefault="00C84BA4" w:rsidP="00C84BA4">
      <w:pPr>
        <w:pStyle w:val="Default"/>
        <w:numPr>
          <w:ilvl w:val="0"/>
          <w:numId w:val="7"/>
        </w:numPr>
        <w:spacing w:line="276" w:lineRule="auto"/>
        <w:jc w:val="both"/>
        <w:rPr>
          <w:rFonts w:ascii="Arial" w:hAnsi="Arial" w:cs="Arial"/>
          <w:color w:val="auto"/>
        </w:rPr>
      </w:pPr>
      <w:r w:rsidRPr="00524825">
        <w:rPr>
          <w:rFonts w:ascii="Arial" w:hAnsi="Arial" w:cs="Arial"/>
          <w:color w:val="auto"/>
        </w:rPr>
        <w:t>Any other information which the Authority may call for by notice or otherwise.</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13.3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applicant shall furnish such further evidence relating to the matters mentioned in the sub-paragraph 13.2 of this Regulation as the Authority may require.</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14 – Withdrawal of Applications</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An applicant may at any time without his application for a Tender Agreement by notifying the Authority in writing accordingly.</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15 – Grant or Refusal of Tender Agreements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15.1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shall seek prior approval from the council to enter into a Tender Agreement with the successful applicant or group of applicant.</w:t>
      </w:r>
    </w:p>
    <w:p w:rsidR="00E3437D" w:rsidRDefault="00E3437D" w:rsidP="00C84BA4">
      <w:pPr>
        <w:pStyle w:val="Default"/>
        <w:spacing w:line="276" w:lineRule="auto"/>
        <w:jc w:val="both"/>
        <w:rPr>
          <w:rFonts w:ascii="Arial" w:hAnsi="Arial" w:cs="Arial"/>
          <w:color w:val="auto"/>
        </w:rPr>
      </w:pPr>
    </w:p>
    <w:p w:rsidR="00A540B2" w:rsidRDefault="00A540B2" w:rsidP="00C84BA4">
      <w:pPr>
        <w:pStyle w:val="Default"/>
        <w:spacing w:line="276" w:lineRule="auto"/>
        <w:jc w:val="both"/>
        <w:rPr>
          <w:rFonts w:ascii="Arial" w:hAnsi="Arial" w:cs="Arial"/>
          <w:color w:val="auto"/>
        </w:rPr>
      </w:pPr>
    </w:p>
    <w:p w:rsidR="00A540B2" w:rsidRDefault="00A540B2" w:rsidP="00C84BA4">
      <w:pPr>
        <w:pStyle w:val="Default"/>
        <w:spacing w:line="276" w:lineRule="auto"/>
        <w:jc w:val="both"/>
        <w:rPr>
          <w:rFonts w:ascii="Arial" w:hAnsi="Arial" w:cs="Arial"/>
          <w:color w:val="auto"/>
        </w:rPr>
      </w:pPr>
    </w:p>
    <w:p w:rsidR="00A540B2" w:rsidRDefault="00A540B2"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lastRenderedPageBreak/>
        <w:t xml:space="preserve">15.2 </w:t>
      </w:r>
    </w:p>
    <w:p w:rsidR="00D17045"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Following that approval, the Authority shall offer in writing to the successful applicant (or group of applicants) to enter into the Tender Agreement upon the terms and subject to the conditions specified in the offer</w:t>
      </w:r>
      <w:r w:rsidR="00D17045">
        <w:rPr>
          <w:rFonts w:ascii="Arial" w:hAnsi="Arial" w:cs="Arial"/>
          <w:color w:val="auto"/>
        </w:rPr>
        <w:t>.</w:t>
      </w:r>
      <w:bookmarkStart w:id="0" w:name="_GoBack"/>
      <w:bookmarkEnd w:id="0"/>
    </w:p>
    <w:p w:rsidR="00E3437D" w:rsidRDefault="00E3437D"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15.3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applicant to whom any offer is made shall have fifteen (15) days from the date on which the Authority dispatched the offer to accept or refuse the offer in writing. In the absence of acceptance within that time, the offer shall automatically lapse.</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15.4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Upon the Authority being satisfied that any other conditions precedent to the entry by the parties into the Tender Agreement have been satisfied in accordance with the limits and other terms of the offer referred to in paragraph 2, the Authority and the applicant shall enter into the Tender Agreement.</w:t>
      </w:r>
    </w:p>
    <w:p w:rsidR="00E3437D" w:rsidRDefault="00E3437D"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15.5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The contractor with whom the Authority enters into a Tender Agreement shall have a period of 30 days from the date of the signing of the agreement to pay the signature bonus. </w:t>
      </w:r>
    </w:p>
    <w:p w:rsidR="00E3437D" w:rsidRDefault="00E3437D"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15.6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If by the end of the said 30 days the applicant has not paid the signature bonus, the agreement referred to in paragraph 4 shall automatically terminate.</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16 – Conversion or an OPL into an OML</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16.1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An OML may be granted to the License of an OPL who has:</w:t>
      </w:r>
    </w:p>
    <w:p w:rsidR="00C84BA4" w:rsidRPr="00524825" w:rsidRDefault="00C84BA4" w:rsidP="00C84BA4">
      <w:pPr>
        <w:pStyle w:val="Default"/>
        <w:numPr>
          <w:ilvl w:val="0"/>
          <w:numId w:val="8"/>
        </w:numPr>
        <w:spacing w:line="276" w:lineRule="auto"/>
        <w:jc w:val="both"/>
        <w:rPr>
          <w:rFonts w:ascii="Arial" w:hAnsi="Arial" w:cs="Arial"/>
          <w:color w:val="auto"/>
        </w:rPr>
      </w:pPr>
      <w:r w:rsidRPr="00524825">
        <w:rPr>
          <w:rFonts w:ascii="Arial" w:hAnsi="Arial" w:cs="Arial"/>
          <w:color w:val="auto"/>
        </w:rPr>
        <w:t xml:space="preserve">Satisfied all the terms and conditions of the OPL and all other requirements under or pursuant to these Regulations or any other applicable law or regulation, and </w:t>
      </w:r>
    </w:p>
    <w:p w:rsidR="00C84BA4" w:rsidRPr="00524825" w:rsidRDefault="00C84BA4" w:rsidP="00C84BA4">
      <w:pPr>
        <w:pStyle w:val="Default"/>
        <w:numPr>
          <w:ilvl w:val="0"/>
          <w:numId w:val="8"/>
        </w:numPr>
        <w:spacing w:line="276" w:lineRule="auto"/>
        <w:jc w:val="both"/>
        <w:rPr>
          <w:rFonts w:ascii="Arial" w:hAnsi="Arial" w:cs="Arial"/>
          <w:color w:val="auto"/>
        </w:rPr>
      </w:pPr>
      <w:r w:rsidRPr="00524825">
        <w:rPr>
          <w:rFonts w:ascii="Arial" w:hAnsi="Arial" w:cs="Arial"/>
          <w:color w:val="auto"/>
        </w:rPr>
        <w:t>Demonstrated to the satisfaction of the Authority that it has discovered oil in commercial quantities.</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16.2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Where an OML terminates by revocation, surrender or any other reason, and whether in whole or in part, the Authority may grant another OML over the whole or as the case may be such part, on such terms as the Authority considers appropriate, through a tender process carried out by the authority upon the same basis, mutatis mutandis, as under Regulations 11 to 15.</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17- Publication of Licenses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shall gazette all grants and renewals of ELs, OPLs and OMLs, and of PSCs entered into. The Authority shall also gazette all surrenders, determinations, revocations or assignments thereof, with the name of the holder and situation of the relevant acreage.</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 </w:t>
      </w: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18 – Keeping and Inspection of Register of Tender agreements.</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shall maintain a register of Tender Agreements as defined in the preceding Regulation, setting out summary details of:</w:t>
      </w:r>
    </w:p>
    <w:p w:rsidR="00C84BA4" w:rsidRPr="00524825" w:rsidRDefault="00C84BA4" w:rsidP="00C84BA4">
      <w:pPr>
        <w:pStyle w:val="Default"/>
        <w:numPr>
          <w:ilvl w:val="0"/>
          <w:numId w:val="9"/>
        </w:numPr>
        <w:spacing w:line="276" w:lineRule="auto"/>
        <w:jc w:val="both"/>
        <w:rPr>
          <w:rFonts w:ascii="Arial" w:hAnsi="Arial" w:cs="Arial"/>
          <w:color w:val="auto"/>
        </w:rPr>
      </w:pPr>
      <w:r w:rsidRPr="00524825">
        <w:rPr>
          <w:rFonts w:ascii="Arial" w:hAnsi="Arial" w:cs="Arial"/>
          <w:color w:val="auto"/>
        </w:rPr>
        <w:t>The areas over which each Tender Agreements is in force;</w:t>
      </w:r>
    </w:p>
    <w:p w:rsidR="00C84BA4" w:rsidRPr="00524825" w:rsidRDefault="00C84BA4" w:rsidP="00C84BA4">
      <w:pPr>
        <w:pStyle w:val="Default"/>
        <w:numPr>
          <w:ilvl w:val="0"/>
          <w:numId w:val="9"/>
        </w:numPr>
        <w:spacing w:line="276" w:lineRule="auto"/>
        <w:jc w:val="both"/>
        <w:rPr>
          <w:rFonts w:ascii="Arial" w:hAnsi="Arial" w:cs="Arial"/>
          <w:color w:val="auto"/>
        </w:rPr>
      </w:pPr>
      <w:r w:rsidRPr="00524825">
        <w:rPr>
          <w:rFonts w:ascii="Arial" w:hAnsi="Arial" w:cs="Arial"/>
          <w:color w:val="auto"/>
        </w:rPr>
        <w:t>The parties to each Tender Agreements and their participating interests and the operator (if any)</w:t>
      </w:r>
    </w:p>
    <w:p w:rsidR="00C84BA4" w:rsidRPr="00524825" w:rsidRDefault="00C84BA4" w:rsidP="00C84BA4">
      <w:pPr>
        <w:pStyle w:val="Default"/>
        <w:numPr>
          <w:ilvl w:val="0"/>
          <w:numId w:val="9"/>
        </w:numPr>
        <w:spacing w:line="276" w:lineRule="auto"/>
        <w:jc w:val="both"/>
        <w:rPr>
          <w:rFonts w:ascii="Arial" w:hAnsi="Arial" w:cs="Arial"/>
          <w:color w:val="auto"/>
        </w:rPr>
      </w:pPr>
      <w:r w:rsidRPr="00524825">
        <w:rPr>
          <w:rFonts w:ascii="Arial" w:hAnsi="Arial" w:cs="Arial"/>
          <w:color w:val="auto"/>
        </w:rPr>
        <w:t>Changes to the operator (if any) and/or the respective participating interests of the parties;</w:t>
      </w:r>
    </w:p>
    <w:p w:rsidR="00C84BA4" w:rsidRPr="00524825" w:rsidRDefault="00C84BA4" w:rsidP="00C84BA4">
      <w:pPr>
        <w:pStyle w:val="Default"/>
        <w:numPr>
          <w:ilvl w:val="0"/>
          <w:numId w:val="9"/>
        </w:numPr>
        <w:spacing w:line="276" w:lineRule="auto"/>
        <w:jc w:val="both"/>
        <w:rPr>
          <w:rFonts w:ascii="Arial" w:hAnsi="Arial" w:cs="Arial"/>
          <w:color w:val="auto"/>
        </w:rPr>
      </w:pPr>
      <w:r w:rsidRPr="00524825">
        <w:rPr>
          <w:rFonts w:ascii="Arial" w:hAnsi="Arial" w:cs="Arial"/>
          <w:color w:val="auto"/>
        </w:rPr>
        <w:t xml:space="preserve">Areas relinquished or surrendered; and </w:t>
      </w:r>
    </w:p>
    <w:p w:rsidR="00C84BA4" w:rsidRPr="00524825" w:rsidRDefault="00C84BA4" w:rsidP="00C84BA4">
      <w:pPr>
        <w:pStyle w:val="Default"/>
        <w:numPr>
          <w:ilvl w:val="0"/>
          <w:numId w:val="9"/>
        </w:numPr>
        <w:spacing w:line="276" w:lineRule="auto"/>
        <w:jc w:val="both"/>
        <w:rPr>
          <w:rFonts w:ascii="Arial" w:hAnsi="Arial" w:cs="Arial"/>
          <w:color w:val="auto"/>
        </w:rPr>
      </w:pPr>
      <w:r w:rsidRPr="00524825">
        <w:rPr>
          <w:rFonts w:ascii="Arial" w:hAnsi="Arial" w:cs="Arial"/>
          <w:color w:val="auto"/>
        </w:rPr>
        <w:t>Changes in the names and addresses of the operator (if any) and the other parties.</w:t>
      </w:r>
    </w:p>
    <w:p w:rsidR="00C84BA4" w:rsidRPr="00524825" w:rsidRDefault="00C84BA4" w:rsidP="00C84BA4">
      <w:pPr>
        <w:pStyle w:val="Default"/>
        <w:spacing w:line="276" w:lineRule="auto"/>
        <w:ind w:left="720"/>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19 – Applications for Assignment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19.1 </w:t>
      </w:r>
    </w:p>
    <w:p w:rsidR="00C84BA4" w:rsidRDefault="00C84BA4" w:rsidP="00C84BA4">
      <w:pPr>
        <w:pStyle w:val="Default"/>
        <w:spacing w:line="276" w:lineRule="auto"/>
        <w:jc w:val="both"/>
        <w:rPr>
          <w:rFonts w:ascii="Arial" w:hAnsi="Arial" w:cs="Arial"/>
          <w:color w:val="auto"/>
        </w:rPr>
      </w:pPr>
      <w:r w:rsidRPr="00524825">
        <w:rPr>
          <w:rFonts w:ascii="Arial" w:hAnsi="Arial" w:cs="Arial"/>
          <w:color w:val="auto"/>
        </w:rPr>
        <w:t>Without the prior consent of the Authority and the council, the holder of a Tender Agreement shall not assign his agreement, or any right, power or interest therein or hereunder.</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19.2 </w:t>
      </w:r>
    </w:p>
    <w:p w:rsidR="00C84BA4" w:rsidRDefault="00C84BA4" w:rsidP="00C84BA4">
      <w:pPr>
        <w:pStyle w:val="Default"/>
        <w:spacing w:line="276" w:lineRule="auto"/>
        <w:jc w:val="both"/>
        <w:rPr>
          <w:rFonts w:ascii="Arial" w:hAnsi="Arial" w:cs="Arial"/>
          <w:color w:val="auto"/>
        </w:rPr>
      </w:pPr>
      <w:r w:rsidRPr="00524825">
        <w:rPr>
          <w:rFonts w:ascii="Arial" w:hAnsi="Arial" w:cs="Arial"/>
          <w:color w:val="auto"/>
        </w:rPr>
        <w:t>The prescribed fee shall be paid on an application for an assignment under this Regulation, and the Authority’s consent for the assignment may be given on payment of such other fee or such premium, or both and upon such terms and subject to such other conditions, as it may decide, PROVIDED that in any specific case the Authority may waive payment of that other fee or that premium, or both, if it is satisfied that the assignment is to be made to a company in a group of companies of which the assignor is also member.</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19.3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shall not consent to an assignment unless it is satisfied that:</w:t>
      </w:r>
    </w:p>
    <w:p w:rsidR="00C84BA4" w:rsidRPr="00524825" w:rsidRDefault="00C84BA4" w:rsidP="00C84BA4">
      <w:pPr>
        <w:pStyle w:val="Default"/>
        <w:numPr>
          <w:ilvl w:val="0"/>
          <w:numId w:val="10"/>
        </w:numPr>
        <w:spacing w:line="276" w:lineRule="auto"/>
        <w:jc w:val="both"/>
        <w:rPr>
          <w:rFonts w:ascii="Arial" w:hAnsi="Arial" w:cs="Arial"/>
          <w:color w:val="auto"/>
        </w:rPr>
      </w:pPr>
      <w:r w:rsidRPr="00524825">
        <w:rPr>
          <w:rFonts w:ascii="Arial" w:hAnsi="Arial" w:cs="Arial"/>
          <w:color w:val="auto"/>
        </w:rPr>
        <w:t>The proposed assignee is of good reputation, or is a member of a group of companies of good reputation, or is owned by the company or companies of good reputation.</w:t>
      </w:r>
    </w:p>
    <w:p w:rsidR="00C84BA4" w:rsidRPr="00524825" w:rsidRDefault="00C84BA4" w:rsidP="00C84BA4">
      <w:pPr>
        <w:pStyle w:val="Default"/>
        <w:numPr>
          <w:ilvl w:val="0"/>
          <w:numId w:val="10"/>
        </w:numPr>
        <w:spacing w:line="276" w:lineRule="auto"/>
        <w:jc w:val="both"/>
        <w:rPr>
          <w:rFonts w:ascii="Arial" w:hAnsi="Arial" w:cs="Arial"/>
          <w:color w:val="auto"/>
        </w:rPr>
      </w:pPr>
      <w:r w:rsidRPr="00524825">
        <w:rPr>
          <w:rFonts w:ascii="Arial" w:hAnsi="Arial" w:cs="Arial"/>
          <w:color w:val="auto"/>
        </w:rPr>
        <w:t xml:space="preserve">There is likely to be available to the proposed assignee (from his own resources or through other companies in the group of which he is a member, or otherwise) </w:t>
      </w:r>
      <w:r w:rsidRPr="00524825">
        <w:rPr>
          <w:rFonts w:ascii="Arial" w:hAnsi="Arial" w:cs="Arial"/>
          <w:color w:val="auto"/>
        </w:rPr>
        <w:lastRenderedPageBreak/>
        <w:t xml:space="preserve">sufficient technical knowledge and experience and sufficient financial resources to enable him effectively to carry out a program satisfactory to the authority in respect of operations under the relevant agreement which is to be assigned; and </w:t>
      </w:r>
    </w:p>
    <w:p w:rsidR="00C84BA4" w:rsidRPr="00524825" w:rsidRDefault="00C84BA4" w:rsidP="00C84BA4">
      <w:pPr>
        <w:pStyle w:val="Default"/>
        <w:numPr>
          <w:ilvl w:val="0"/>
          <w:numId w:val="10"/>
        </w:numPr>
        <w:spacing w:line="276" w:lineRule="auto"/>
        <w:jc w:val="both"/>
        <w:rPr>
          <w:rFonts w:ascii="Arial" w:hAnsi="Arial" w:cs="Arial"/>
          <w:color w:val="auto"/>
        </w:rPr>
      </w:pPr>
      <w:r w:rsidRPr="00524825">
        <w:rPr>
          <w:rFonts w:ascii="Arial" w:hAnsi="Arial" w:cs="Arial"/>
          <w:color w:val="auto"/>
        </w:rPr>
        <w:t>The proposed assignee is in all other respects acceptable to the Authority and the council.</w:t>
      </w:r>
    </w:p>
    <w:p w:rsidR="00106F2A" w:rsidRDefault="00106F2A" w:rsidP="00C84BA4">
      <w:pPr>
        <w:pStyle w:val="Default"/>
        <w:spacing w:line="276" w:lineRule="auto"/>
        <w:jc w:val="both"/>
        <w:rPr>
          <w:rFonts w:ascii="Arial" w:hAnsi="Arial" w:cs="Arial"/>
          <w:b/>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Regulation 20 – Termination of an OPL or OML</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20.1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holder of an OPL or OML may, at any time, terminate the OPL or OML, by giving notice to the authority. The period of the notice preceding the termination shall not be less than six months for an OPL and twelve months for an OML</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20.2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Where notice is given under the preceding paragraph, no rent shall be refundable, and the termination shall otherwise be without prejudice to any obligation or liability imposed by or incurred under or in relation to the OPL, OML before the effective date of termination. </w:t>
      </w:r>
    </w:p>
    <w:p w:rsidR="00C84BA4" w:rsidRPr="00524825" w:rsidRDefault="00C84BA4"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b/>
          <w:color w:val="auto"/>
        </w:rPr>
      </w:pPr>
      <w:r w:rsidRPr="00524825">
        <w:rPr>
          <w:rFonts w:ascii="Arial" w:hAnsi="Arial" w:cs="Arial"/>
          <w:b/>
          <w:color w:val="auto"/>
        </w:rPr>
        <w:t xml:space="preserve">Regulation 21 – Revocation of OPLs and OMLs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may revoke an OPL, OML or PSC, if in its opinion the Licensee, Lessee, or relevant PSC Contractor;</w:t>
      </w:r>
    </w:p>
    <w:p w:rsidR="00C84BA4" w:rsidRPr="00524825" w:rsidRDefault="00C84BA4" w:rsidP="00C84BA4">
      <w:pPr>
        <w:pStyle w:val="Default"/>
        <w:numPr>
          <w:ilvl w:val="0"/>
          <w:numId w:val="11"/>
        </w:numPr>
        <w:spacing w:line="276" w:lineRule="auto"/>
        <w:jc w:val="both"/>
        <w:rPr>
          <w:rFonts w:ascii="Arial" w:hAnsi="Arial" w:cs="Arial"/>
          <w:color w:val="auto"/>
        </w:rPr>
      </w:pPr>
      <w:r w:rsidRPr="00524825">
        <w:rPr>
          <w:rFonts w:ascii="Arial" w:hAnsi="Arial" w:cs="Arial"/>
          <w:color w:val="auto"/>
        </w:rPr>
        <w:t>Is not conducting operations continuously and in a vigorous and businesslike manner and in accordance with good oil field practice;</w:t>
      </w:r>
    </w:p>
    <w:p w:rsidR="00C84BA4" w:rsidRPr="00524825" w:rsidRDefault="00C84BA4" w:rsidP="00C84BA4">
      <w:pPr>
        <w:pStyle w:val="Default"/>
        <w:numPr>
          <w:ilvl w:val="0"/>
          <w:numId w:val="11"/>
        </w:numPr>
        <w:spacing w:line="276" w:lineRule="auto"/>
        <w:jc w:val="both"/>
        <w:rPr>
          <w:rFonts w:ascii="Arial" w:hAnsi="Arial" w:cs="Arial"/>
          <w:color w:val="auto"/>
        </w:rPr>
      </w:pPr>
      <w:r w:rsidRPr="00524825">
        <w:rPr>
          <w:rFonts w:ascii="Arial" w:hAnsi="Arial" w:cs="Arial"/>
          <w:color w:val="auto"/>
        </w:rPr>
        <w:t xml:space="preserve">Has failed to comply with any provision of these Regulations or any further regulation or direction given there under or is not fulfilling his obligations under the special conditions of his License or Lease; or </w:t>
      </w:r>
    </w:p>
    <w:p w:rsidR="00C84BA4" w:rsidRPr="00524825" w:rsidRDefault="00C84BA4" w:rsidP="00C84BA4">
      <w:pPr>
        <w:pStyle w:val="Default"/>
        <w:numPr>
          <w:ilvl w:val="0"/>
          <w:numId w:val="11"/>
        </w:numPr>
        <w:spacing w:line="276" w:lineRule="auto"/>
        <w:jc w:val="both"/>
        <w:rPr>
          <w:rFonts w:ascii="Arial" w:hAnsi="Arial" w:cs="Arial"/>
          <w:color w:val="auto"/>
        </w:rPr>
      </w:pPr>
      <w:r w:rsidRPr="00524825">
        <w:rPr>
          <w:rFonts w:ascii="Arial" w:hAnsi="Arial" w:cs="Arial"/>
          <w:color w:val="auto"/>
        </w:rPr>
        <w:t xml:space="preserve">Fails to pay his due rent or royalties, whether or not they have been demanded by the authority, within the period specified by or in pursuance of these Regulations; or </w:t>
      </w:r>
    </w:p>
    <w:p w:rsidR="00C84BA4" w:rsidRPr="00524825" w:rsidRDefault="00C84BA4" w:rsidP="00C84BA4">
      <w:pPr>
        <w:pStyle w:val="Default"/>
        <w:numPr>
          <w:ilvl w:val="0"/>
          <w:numId w:val="11"/>
        </w:numPr>
        <w:spacing w:line="276" w:lineRule="auto"/>
        <w:jc w:val="both"/>
        <w:rPr>
          <w:rFonts w:ascii="Arial" w:hAnsi="Arial" w:cs="Arial"/>
          <w:color w:val="auto"/>
        </w:rPr>
      </w:pPr>
      <w:r w:rsidRPr="00524825">
        <w:rPr>
          <w:rFonts w:ascii="Arial" w:hAnsi="Arial" w:cs="Arial"/>
          <w:color w:val="auto"/>
        </w:rPr>
        <w:t>Has failed to furnish such reports on his operations as the Authority may lawfully require</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21.2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shall inform the Licenses, Lessee or as the case may be PSC Contractor of the grounds on which the revocation is contemplated to make any explanation if it so desires</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21.3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If the Authority is satisfied with the explanation, it may invite the Licensee, Lessee or PSC Contractor to rectify the matter complained of within a specified period</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lastRenderedPageBreak/>
        <w:t xml:space="preserve">21.4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The Authority may revoke the License, Lease or PSC, if:</w:t>
      </w:r>
    </w:p>
    <w:p w:rsidR="00C84BA4" w:rsidRPr="00524825" w:rsidRDefault="00C84BA4" w:rsidP="00C84BA4">
      <w:pPr>
        <w:pStyle w:val="Default"/>
        <w:numPr>
          <w:ilvl w:val="0"/>
          <w:numId w:val="12"/>
        </w:numPr>
        <w:spacing w:line="276" w:lineRule="auto"/>
        <w:jc w:val="both"/>
        <w:rPr>
          <w:rFonts w:ascii="Arial" w:hAnsi="Arial" w:cs="Arial"/>
          <w:color w:val="auto"/>
        </w:rPr>
      </w:pPr>
      <w:r w:rsidRPr="00524825">
        <w:rPr>
          <w:rFonts w:ascii="Arial" w:hAnsi="Arial" w:cs="Arial"/>
          <w:color w:val="auto"/>
        </w:rPr>
        <w:t>The License, Lessee or PSC Contractor provides no or insufficient explanation; or</w:t>
      </w:r>
    </w:p>
    <w:p w:rsidR="00C84BA4" w:rsidRPr="00524825" w:rsidRDefault="00C84BA4" w:rsidP="00C84BA4">
      <w:pPr>
        <w:pStyle w:val="Default"/>
        <w:numPr>
          <w:ilvl w:val="0"/>
          <w:numId w:val="12"/>
        </w:numPr>
        <w:spacing w:line="276" w:lineRule="auto"/>
        <w:jc w:val="both"/>
        <w:rPr>
          <w:rFonts w:ascii="Arial" w:hAnsi="Arial" w:cs="Arial"/>
          <w:color w:val="auto"/>
        </w:rPr>
      </w:pPr>
      <w:r w:rsidRPr="00524825">
        <w:rPr>
          <w:rFonts w:ascii="Arial" w:hAnsi="Arial" w:cs="Arial"/>
          <w:color w:val="auto"/>
        </w:rPr>
        <w:t>Does not rectify the matter complained of within the specified period</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21.5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A notice sent to the last known address of the License, Lessee or PSC Contractor, or its legal representative in Nigeria or Sao Tome e Principe, and gazette, shall for all purposes, be sufficient notice to it of the revocation of the License, Lease or PSC.</w:t>
      </w:r>
    </w:p>
    <w:p w:rsidR="00106F2A" w:rsidRDefault="00106F2A" w:rsidP="00C84BA4">
      <w:pPr>
        <w:pStyle w:val="Default"/>
        <w:spacing w:line="276" w:lineRule="auto"/>
        <w:jc w:val="both"/>
        <w:rPr>
          <w:rFonts w:ascii="Arial" w:hAnsi="Arial" w:cs="Arial"/>
          <w:color w:val="auto"/>
        </w:rPr>
      </w:pP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21.6 </w:t>
      </w:r>
    </w:p>
    <w:p w:rsidR="00C84BA4" w:rsidRPr="00524825" w:rsidRDefault="00C84BA4" w:rsidP="00C84BA4">
      <w:pPr>
        <w:pStyle w:val="Default"/>
        <w:spacing w:line="276" w:lineRule="auto"/>
        <w:jc w:val="both"/>
        <w:rPr>
          <w:rFonts w:ascii="Arial" w:hAnsi="Arial" w:cs="Arial"/>
          <w:color w:val="auto"/>
        </w:rPr>
      </w:pPr>
      <w:r w:rsidRPr="00524825">
        <w:rPr>
          <w:rFonts w:ascii="Arial" w:hAnsi="Arial" w:cs="Arial"/>
          <w:color w:val="auto"/>
        </w:rPr>
        <w:t xml:space="preserve">The revocation shall be without prejudice to any liabilities, which the Licensee, Lessee or PSC Contractor may have accrued to the Authority. </w:t>
      </w:r>
    </w:p>
    <w:p w:rsidR="009E70B2" w:rsidRDefault="00A540B2"/>
    <w:sectPr w:rsidR="009E7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4F62"/>
    <w:multiLevelType w:val="hybridMultilevel"/>
    <w:tmpl w:val="68EEF73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FC20D2"/>
    <w:multiLevelType w:val="hybridMultilevel"/>
    <w:tmpl w:val="839A52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9974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355CC6"/>
    <w:multiLevelType w:val="hybridMultilevel"/>
    <w:tmpl w:val="D58E61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8303CE"/>
    <w:multiLevelType w:val="hybridMultilevel"/>
    <w:tmpl w:val="3B8CCD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32724A0"/>
    <w:multiLevelType w:val="hybridMultilevel"/>
    <w:tmpl w:val="9698E8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2B177C"/>
    <w:multiLevelType w:val="hybridMultilevel"/>
    <w:tmpl w:val="2528C4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5255399"/>
    <w:multiLevelType w:val="hybridMultilevel"/>
    <w:tmpl w:val="AA225E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6E4CFF"/>
    <w:multiLevelType w:val="hybridMultilevel"/>
    <w:tmpl w:val="42901F5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AF302CB"/>
    <w:multiLevelType w:val="hybridMultilevel"/>
    <w:tmpl w:val="8B98C2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7D5BFA"/>
    <w:multiLevelType w:val="hybridMultilevel"/>
    <w:tmpl w:val="8DE89E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EB66F4"/>
    <w:multiLevelType w:val="hybridMultilevel"/>
    <w:tmpl w:val="C55A92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3"/>
  </w:num>
  <w:num w:numId="5">
    <w:abstractNumId w:val="5"/>
  </w:num>
  <w:num w:numId="6">
    <w:abstractNumId w:val="7"/>
  </w:num>
  <w:num w:numId="7">
    <w:abstractNumId w:val="10"/>
  </w:num>
  <w:num w:numId="8">
    <w:abstractNumId w:val="9"/>
  </w:num>
  <w:num w:numId="9">
    <w:abstractNumId w:val="8"/>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A4"/>
    <w:rsid w:val="00106F2A"/>
    <w:rsid w:val="0016178F"/>
    <w:rsid w:val="00315300"/>
    <w:rsid w:val="00370F49"/>
    <w:rsid w:val="00442871"/>
    <w:rsid w:val="006F505F"/>
    <w:rsid w:val="00980664"/>
    <w:rsid w:val="009E29CC"/>
    <w:rsid w:val="00A10CCA"/>
    <w:rsid w:val="00A2098B"/>
    <w:rsid w:val="00A540B2"/>
    <w:rsid w:val="00B16E7B"/>
    <w:rsid w:val="00C84BA4"/>
    <w:rsid w:val="00D17045"/>
    <w:rsid w:val="00E3437D"/>
    <w:rsid w:val="00F0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sume Title"/>
    <w:basedOn w:val="Normal"/>
    <w:link w:val="ListParagraphChar"/>
    <w:uiPriority w:val="34"/>
    <w:qFormat/>
    <w:rsid w:val="00C84BA4"/>
    <w:pPr>
      <w:ind w:left="720"/>
      <w:contextualSpacing/>
    </w:pPr>
  </w:style>
  <w:style w:type="character" w:customStyle="1" w:styleId="ListParagraphChar">
    <w:name w:val="List Paragraph Char"/>
    <w:aliases w:val="Resume Title Char"/>
    <w:link w:val="ListParagraph"/>
    <w:uiPriority w:val="34"/>
    <w:locked/>
    <w:rsid w:val="00C84BA4"/>
  </w:style>
  <w:style w:type="paragraph" w:customStyle="1" w:styleId="Default">
    <w:name w:val="Default"/>
    <w:rsid w:val="00C84BA4"/>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sume Title"/>
    <w:basedOn w:val="Normal"/>
    <w:link w:val="ListParagraphChar"/>
    <w:uiPriority w:val="34"/>
    <w:qFormat/>
    <w:rsid w:val="00C84BA4"/>
    <w:pPr>
      <w:ind w:left="720"/>
      <w:contextualSpacing/>
    </w:pPr>
  </w:style>
  <w:style w:type="character" w:customStyle="1" w:styleId="ListParagraphChar">
    <w:name w:val="List Paragraph Char"/>
    <w:aliases w:val="Resume Title Char"/>
    <w:link w:val="ListParagraph"/>
    <w:uiPriority w:val="34"/>
    <w:locked/>
    <w:rsid w:val="00C84BA4"/>
  </w:style>
  <w:style w:type="paragraph" w:customStyle="1" w:styleId="Default">
    <w:name w:val="Default"/>
    <w:rsid w:val="00C84BA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11</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Murjanatu Magaji</dc:creator>
  <cp:lastModifiedBy>Murjanatu Magaji</cp:lastModifiedBy>
  <cp:revision>6</cp:revision>
  <dcterms:created xsi:type="dcterms:W3CDTF">2018-05-21T11:44:00Z</dcterms:created>
  <dcterms:modified xsi:type="dcterms:W3CDTF">2018-05-28T14:59:00Z</dcterms:modified>
</cp:coreProperties>
</file>