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BB627" w14:textId="77777777" w:rsidR="00BB62F4" w:rsidRDefault="00000000">
      <w:pPr>
        <w:pBdr>
          <w:top w:val="nil"/>
          <w:left w:val="nil"/>
          <w:bottom w:val="single" w:sz="8" w:space="4" w:color="1A4066"/>
          <w:right w:val="nil"/>
          <w:between w:val="nil"/>
        </w:pBdr>
        <w:spacing w:before="360" w:line="276" w:lineRule="auto"/>
        <w:rPr>
          <w:rFonts w:ascii="Libre Franklin Medium" w:eastAsia="Libre Franklin Medium" w:hAnsi="Libre Franklin Medium" w:cs="Libre Franklin Medium"/>
          <w:color w:val="000000"/>
          <w:sz w:val="44"/>
          <w:szCs w:val="44"/>
        </w:rPr>
      </w:pPr>
      <w:r>
        <w:rPr>
          <w:rFonts w:ascii="Libre Franklin Medium" w:eastAsia="Libre Franklin Medium" w:hAnsi="Libre Franklin Medium" w:cs="Libre Franklin Medium"/>
          <w:color w:val="000000"/>
          <w:sz w:val="44"/>
          <w:szCs w:val="44"/>
        </w:rPr>
        <w:t>Transparency template</w:t>
      </w:r>
    </w:p>
    <w:p w14:paraId="3237B0B0" w14:textId="77777777" w:rsidR="00BB62F4" w:rsidRDefault="00000000">
      <w:pPr>
        <w:rPr>
          <w:b/>
          <w:bCs/>
          <w:color w:val="002060"/>
          <w:sz w:val="28"/>
          <w:szCs w:val="28"/>
        </w:rPr>
      </w:pPr>
      <w:r>
        <w:rPr>
          <w:b/>
          <w:bCs/>
          <w:color w:val="002060"/>
          <w:sz w:val="28"/>
          <w:szCs w:val="28"/>
        </w:rPr>
        <w:t>Module: Licenses, contracts and ownership</w:t>
      </w:r>
    </w:p>
    <w:p w14:paraId="1D822476" w14:textId="77777777" w:rsidR="00BB62F4" w:rsidRDefault="00000000">
      <w:pPr>
        <w:rPr>
          <w:b/>
          <w:bCs/>
          <w:color w:val="002060"/>
          <w:sz w:val="28"/>
          <w:szCs w:val="28"/>
        </w:rPr>
      </w:pPr>
      <w:r>
        <w:rPr>
          <w:b/>
          <w:bCs/>
          <w:color w:val="002060"/>
          <w:sz w:val="28"/>
          <w:szCs w:val="28"/>
        </w:rPr>
        <w:t xml:space="preserve">Covering requirements Contract and license allocations (#2.2), Register of licenses (#2.3), Contract and license disclosure (#2.4), legal and beneficial ownership (#2.5) </w:t>
      </w:r>
    </w:p>
    <w:p w14:paraId="24BD7226" w14:textId="77777777" w:rsidR="00BB62F4" w:rsidRDefault="00BB62F4"/>
    <w:p w14:paraId="12D0E6E3" w14:textId="77777777" w:rsidR="00BB62F4" w:rsidRDefault="00000000">
      <w:pPr>
        <w:pBdr>
          <w:top w:val="nil"/>
          <w:left w:val="nil"/>
          <w:bottom w:val="nil"/>
          <w:right w:val="nil"/>
          <w:between w:val="nil"/>
        </w:pBdr>
        <w:shd w:val="clear" w:color="auto" w:fill="D0CECE"/>
        <w:spacing w:line="276" w:lineRule="auto"/>
        <w:rPr>
          <w:color w:val="000000"/>
        </w:rPr>
      </w:pPr>
      <w:r>
        <w:rPr>
          <w:b/>
          <w:bCs/>
          <w:color w:val="000000"/>
        </w:rPr>
        <w:t>Sector covered by this template</w:t>
      </w:r>
      <w:r>
        <w:rPr>
          <w:color w:val="000000"/>
        </w:rPr>
        <w:t xml:space="preserve">: </w:t>
      </w:r>
      <w:r>
        <w:rPr>
          <w:color w:val="000000"/>
        </w:rPr>
        <w:tab/>
      </w:r>
      <w:r>
        <w:rPr>
          <w:color w:val="000000"/>
        </w:rPr>
        <w:tab/>
      </w:r>
      <w:r>
        <w:rPr>
          <w:rFonts w:ascii="MS Gothic" w:eastAsia="MS Gothic" w:hAnsi="MS Gothic" w:cs="MS Gothic"/>
          <w:color w:val="000000"/>
        </w:rPr>
        <w:t>☒</w:t>
      </w:r>
      <w:r>
        <w:rPr>
          <w:color w:val="000000"/>
        </w:rPr>
        <w:t xml:space="preserve"> Oil and gas</w:t>
      </w:r>
      <w:r>
        <w:rPr>
          <w:color w:val="000000"/>
        </w:rPr>
        <w:tab/>
      </w:r>
      <w:r>
        <w:rPr>
          <w:color w:val="000000"/>
          <w:u w:val="single"/>
        </w:rPr>
        <w:t>OR</w:t>
      </w:r>
      <w:r>
        <w:rPr>
          <w:color w:val="000000"/>
        </w:rPr>
        <w:tab/>
      </w:r>
      <w:r>
        <w:rPr>
          <w:rFonts w:ascii="MS Gothic" w:eastAsia="MS Gothic" w:hAnsi="MS Gothic" w:cs="MS Gothic"/>
          <w:color w:val="000000"/>
        </w:rPr>
        <w:t>☐</w:t>
      </w:r>
      <w:r>
        <w:rPr>
          <w:color w:val="000000"/>
        </w:rPr>
        <w:t>Mining and quarrying</w:t>
      </w:r>
    </w:p>
    <w:p w14:paraId="73364616" w14:textId="77777777" w:rsidR="00BB62F4" w:rsidRDefault="00000000">
      <w:pPr>
        <w:pBdr>
          <w:top w:val="nil"/>
          <w:left w:val="nil"/>
          <w:bottom w:val="nil"/>
          <w:right w:val="nil"/>
          <w:between w:val="nil"/>
        </w:pBdr>
        <w:spacing w:line="276" w:lineRule="auto"/>
        <w:rPr>
          <w:i/>
          <w:iCs/>
          <w:color w:val="000000"/>
        </w:rPr>
      </w:pPr>
      <w:r>
        <w:rPr>
          <w:b/>
          <w:bCs/>
          <w:color w:val="000000"/>
        </w:rPr>
        <w:t>Period under review:</w:t>
      </w:r>
      <w:r>
        <w:rPr>
          <w:color w:val="000000"/>
        </w:rPr>
        <w:t xml:space="preserve">  </w:t>
      </w:r>
      <w:r>
        <w:rPr>
          <w:i/>
          <w:iCs/>
          <w:color w:val="000000"/>
        </w:rPr>
        <w:t xml:space="preserve">What is the period that this template covers? </w:t>
      </w:r>
      <w:r>
        <w:rPr>
          <w:i/>
          <w:iCs/>
          <w:color w:val="000000"/>
        </w:rPr>
        <w:br/>
      </w:r>
      <w:r>
        <w:rPr>
          <w:color w:val="000000"/>
        </w:rPr>
        <w:t xml:space="preserve">Month and year to month and year: </w:t>
      </w:r>
      <w:r>
        <w:rPr>
          <w:color w:val="000000"/>
          <w:highlight w:val="lightGray"/>
        </w:rPr>
        <w:t>Enter here</w:t>
      </w:r>
      <w:r>
        <w:rPr>
          <w:color w:val="000000"/>
          <w:shd w:val="clear" w:color="auto" w:fill="D9E2F3"/>
        </w:rPr>
        <w:t xml:space="preserve"> </w:t>
      </w:r>
      <w:r>
        <w:rPr>
          <w:shd w:val="clear" w:color="auto" w:fill="D9E2F3"/>
        </w:rPr>
        <w:t>January 2023 – July 2026</w:t>
      </w:r>
    </w:p>
    <w:p w14:paraId="042BBFF8" w14:textId="77777777" w:rsidR="00BB62F4" w:rsidRDefault="00000000">
      <w:pPr>
        <w:pBdr>
          <w:top w:val="nil"/>
          <w:left w:val="nil"/>
          <w:bottom w:val="nil"/>
          <w:right w:val="nil"/>
          <w:between w:val="nil"/>
        </w:pBdr>
        <w:spacing w:line="276" w:lineRule="auto"/>
        <w:rPr>
          <w:i/>
          <w:iCs/>
          <w:color w:val="000000"/>
        </w:rPr>
      </w:pPr>
      <w:r>
        <w:rPr>
          <w:i/>
          <w:iCs/>
          <w:color w:val="000000"/>
        </w:rPr>
        <w:t xml:space="preserve">Note: for </w:t>
      </w:r>
      <w:r>
        <w:rPr>
          <w:i/>
          <w:iCs/>
          <w:color w:val="000000"/>
          <w:highlight w:val="cyan"/>
        </w:rPr>
        <w:t>Validation</w:t>
      </w:r>
      <w:r>
        <w:rPr>
          <w:i/>
          <w:iCs/>
          <w:color w:val="000000"/>
        </w:rPr>
        <w:t>, it is the day of commencement of the previous Validation which marks the beginning of the period under review until the date of commencement of the upcoming Validation.</w:t>
      </w:r>
    </w:p>
    <w:p w14:paraId="1D7037E1" w14:textId="77777777" w:rsidR="00BB62F4" w:rsidRDefault="00BB62F4">
      <w:pPr>
        <w:pBdr>
          <w:top w:val="nil"/>
          <w:left w:val="nil"/>
          <w:bottom w:val="nil"/>
          <w:right w:val="nil"/>
          <w:between w:val="nil"/>
        </w:pBdr>
        <w:spacing w:line="276" w:lineRule="auto"/>
        <w:rPr>
          <w:color w:val="000000"/>
        </w:rPr>
      </w:pPr>
    </w:p>
    <w:p w14:paraId="751C81B6" w14:textId="77777777" w:rsidR="00BB62F4" w:rsidRDefault="00000000">
      <w:pPr>
        <w:pBdr>
          <w:top w:val="nil"/>
          <w:left w:val="nil"/>
          <w:bottom w:val="nil"/>
          <w:right w:val="nil"/>
          <w:between w:val="nil"/>
        </w:pBdr>
        <w:spacing w:line="276" w:lineRule="auto"/>
        <w:rPr>
          <w:color w:val="000000"/>
        </w:rPr>
      </w:pPr>
      <w:r>
        <w:rPr>
          <w:color w:val="000000"/>
        </w:rPr>
        <w:t xml:space="preserve">This form is submitted for </w:t>
      </w:r>
      <w:r>
        <w:rPr>
          <w:color w:val="000000"/>
        </w:rPr>
        <w:tab/>
      </w:r>
      <w:r>
        <w:rPr>
          <w:rFonts w:ascii="MS Gothic" w:eastAsia="MS Gothic" w:hAnsi="MS Gothic" w:cs="MS Gothic"/>
          <w:color w:val="000000"/>
        </w:rPr>
        <w:t>☐</w:t>
      </w:r>
      <w:r>
        <w:rPr>
          <w:color w:val="000000"/>
        </w:rPr>
        <w:t xml:space="preserve"> </w:t>
      </w:r>
      <w:r>
        <w:rPr>
          <w:color w:val="000000"/>
        </w:rPr>
        <w:tab/>
      </w:r>
      <w:r>
        <w:rPr>
          <w:color w:val="000000"/>
          <w:highlight w:val="yellow"/>
        </w:rPr>
        <w:t>International Secretariat feedback</w:t>
      </w:r>
      <w:r>
        <w:rPr>
          <w:color w:val="000000"/>
        </w:rPr>
        <w:t xml:space="preserve"> as part of</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implementation support </w:t>
      </w:r>
      <w:r>
        <w:rPr>
          <w:color w:val="000000"/>
        </w:rPr>
        <w:br/>
      </w:r>
      <w:r>
        <w:rPr>
          <w:color w:val="000000"/>
        </w:rPr>
        <w:br/>
      </w:r>
      <w:r>
        <w:rPr>
          <w:color w:val="000000"/>
        </w:rPr>
        <w:tab/>
      </w:r>
      <w:r>
        <w:rPr>
          <w:color w:val="000000"/>
          <w:u w:val="single"/>
        </w:rPr>
        <w:t>OR</w:t>
      </w:r>
      <w:r>
        <w:rPr>
          <w:color w:val="000000"/>
        </w:rPr>
        <w:tab/>
      </w:r>
      <w:r>
        <w:rPr>
          <w:color w:val="000000"/>
        </w:rPr>
        <w:tab/>
      </w:r>
      <w:r>
        <w:rPr>
          <w:color w:val="000000"/>
        </w:rPr>
        <w:tab/>
      </w:r>
      <w:r>
        <w:rPr>
          <w:rFonts w:ascii="MS Gothic" w:eastAsia="MS Gothic" w:hAnsi="MS Gothic" w:cs="MS Gothic"/>
          <w:color w:val="000000"/>
        </w:rPr>
        <w:t>☐</w:t>
      </w:r>
      <w:r>
        <w:rPr>
          <w:color w:val="000000"/>
        </w:rPr>
        <w:tab/>
      </w:r>
      <w:r>
        <w:rPr>
          <w:color w:val="000000"/>
          <w:highlight w:val="cyan"/>
        </w:rPr>
        <w:t>Validation</w:t>
      </w:r>
      <w:r>
        <w:rPr>
          <w:color w:val="000000"/>
        </w:rPr>
        <w:t xml:space="preserve"> as part of final submission for assessment</w:t>
      </w:r>
    </w:p>
    <w:p w14:paraId="61A90E30" w14:textId="77777777" w:rsidR="00BB62F4" w:rsidRDefault="00BB62F4">
      <w:pPr>
        <w:pBdr>
          <w:top w:val="nil"/>
          <w:left w:val="nil"/>
          <w:bottom w:val="nil"/>
          <w:right w:val="nil"/>
          <w:between w:val="nil"/>
        </w:pBdr>
        <w:spacing w:line="276" w:lineRule="auto"/>
        <w:rPr>
          <w:b/>
          <w:bCs/>
          <w:color w:val="000000"/>
        </w:rPr>
      </w:pPr>
    </w:p>
    <w:p w14:paraId="2D923702" w14:textId="77777777" w:rsidR="00BB62F4" w:rsidRDefault="00000000">
      <w:pPr>
        <w:pBdr>
          <w:top w:val="nil"/>
          <w:left w:val="nil"/>
          <w:bottom w:val="nil"/>
          <w:right w:val="nil"/>
          <w:between w:val="nil"/>
        </w:pBdr>
        <w:spacing w:line="276" w:lineRule="auto"/>
        <w:rPr>
          <w:b/>
          <w:bCs/>
          <w:color w:val="000000"/>
        </w:rPr>
      </w:pPr>
      <w:r>
        <w:rPr>
          <w:b/>
          <w:bCs/>
          <w:color w:val="000000"/>
        </w:rPr>
        <w:t>Introduction</w:t>
      </w:r>
    </w:p>
    <w:p w14:paraId="5D550CF5" w14:textId="77777777" w:rsidR="00BB62F4" w:rsidRDefault="00000000">
      <w:pPr>
        <w:pBdr>
          <w:top w:val="nil"/>
          <w:left w:val="nil"/>
          <w:bottom w:val="nil"/>
          <w:right w:val="nil"/>
          <w:between w:val="nil"/>
        </w:pBdr>
        <w:spacing w:line="276" w:lineRule="auto"/>
        <w:rPr>
          <w:color w:val="000000"/>
        </w:rPr>
      </w:pPr>
      <w:r>
        <w:rPr>
          <w:color w:val="000000"/>
        </w:rPr>
        <w:t>This module addresses the key disclosure areas related issuers (government) and holders (companies) of licenses. While the payment disclosures and disclosures on other requirements, such as on state participation or revenue collection, may exclude some companies and government entities based on considerations of materiality</w:t>
      </w:r>
      <w:r>
        <w:rPr>
          <w:color w:val="000000"/>
          <w:vertAlign w:val="superscript"/>
        </w:rPr>
        <w:footnoteReference w:id="1"/>
      </w:r>
      <w:r>
        <w:rPr>
          <w:color w:val="000000"/>
        </w:rPr>
        <w:t xml:space="preserve">, </w:t>
      </w:r>
      <w:r>
        <w:rPr>
          <w:b/>
          <w:bCs/>
          <w:color w:val="000000"/>
        </w:rPr>
        <w:t xml:space="preserve">requirements 2.2, 2.3, 2.4 and 2.5 apply to </w:t>
      </w:r>
      <w:r>
        <w:rPr>
          <w:b/>
          <w:bCs/>
          <w:i/>
          <w:iCs/>
          <w:color w:val="000000"/>
        </w:rPr>
        <w:t>all</w:t>
      </w:r>
      <w:r>
        <w:rPr>
          <w:b/>
          <w:bCs/>
          <w:color w:val="000000"/>
        </w:rPr>
        <w:t xml:space="preserve"> licenses, contracts and license holders</w:t>
      </w:r>
      <w:r>
        <w:rPr>
          <w:color w:val="000000"/>
        </w:rPr>
        <w:t>.</w:t>
      </w:r>
      <w:r>
        <w:rPr>
          <w:color w:val="000000"/>
          <w:vertAlign w:val="superscript"/>
        </w:rPr>
        <w:footnoteReference w:id="2"/>
      </w:r>
      <w:r>
        <w:rPr>
          <w:color w:val="000000"/>
        </w:rPr>
        <w:t xml:space="preserve"> The attribution or transfer of licenses can be a source of governance risks. Understanding how licenses are allocated and transferred, what the terms of the licenses and contracts are, and the ownership structure and ultimate identity of the license holder are key for good governance. For example, it allows to understand if the licensing authority is running robust registers and licensing processes, and if it knows its business counterpart. For companies, understanding of the license allocation process, and terms associated to, it can support an investment decision. For civil society, the disclosures and analysis </w:t>
      </w:r>
      <w:r>
        <w:rPr>
          <w:color w:val="000000"/>
        </w:rPr>
        <w:lastRenderedPageBreak/>
        <w:t xml:space="preserve">thereof are key to understand under what conditions licenses are attributed and transferred, under what terms those companies operate, and who ultimately benefits from the operations. </w:t>
      </w:r>
    </w:p>
    <w:p w14:paraId="22DF0CEA" w14:textId="77777777" w:rsidR="00BB62F4" w:rsidRDefault="00BB62F4">
      <w:pPr>
        <w:pBdr>
          <w:top w:val="nil"/>
          <w:left w:val="nil"/>
          <w:bottom w:val="nil"/>
          <w:right w:val="nil"/>
          <w:between w:val="nil"/>
        </w:pBdr>
        <w:spacing w:line="276" w:lineRule="auto"/>
        <w:rPr>
          <w:b/>
          <w:bCs/>
          <w:color w:val="000000"/>
        </w:rPr>
      </w:pPr>
    </w:p>
    <w:p w14:paraId="61FF34CA" w14:textId="77777777" w:rsidR="00BB62F4" w:rsidRDefault="00000000">
      <w:pPr>
        <w:spacing w:before="0" w:after="0"/>
        <w:rPr>
          <w:b/>
          <w:bCs/>
        </w:rPr>
      </w:pPr>
      <w:r>
        <w:br w:type="page"/>
      </w:r>
    </w:p>
    <w:p w14:paraId="169903AD" w14:textId="77777777" w:rsidR="00BB62F4" w:rsidRDefault="00000000">
      <w:pPr>
        <w:pBdr>
          <w:top w:val="nil"/>
          <w:left w:val="nil"/>
          <w:bottom w:val="nil"/>
          <w:right w:val="nil"/>
          <w:between w:val="nil"/>
        </w:pBdr>
        <w:spacing w:line="276" w:lineRule="auto"/>
        <w:rPr>
          <w:b/>
          <w:bCs/>
          <w:color w:val="000000"/>
        </w:rPr>
      </w:pPr>
      <w:r>
        <w:rPr>
          <w:b/>
          <w:bCs/>
          <w:color w:val="000000"/>
        </w:rPr>
        <w:lastRenderedPageBreak/>
        <w:t xml:space="preserve">What is the purpose of this template? </w:t>
      </w:r>
    </w:p>
    <w:p w14:paraId="072EB29B" w14:textId="77777777" w:rsidR="00BB62F4" w:rsidRDefault="00000000">
      <w:pPr>
        <w:pBdr>
          <w:top w:val="nil"/>
          <w:left w:val="nil"/>
          <w:bottom w:val="nil"/>
          <w:right w:val="nil"/>
          <w:between w:val="nil"/>
        </w:pBdr>
        <w:spacing w:line="276" w:lineRule="auto"/>
        <w:rPr>
          <w:color w:val="000000"/>
        </w:rPr>
      </w:pPr>
      <w:r>
        <w:rPr>
          <w:color w:val="000000"/>
          <w:highlight w:val="white"/>
        </w:rPr>
        <w:t xml:space="preserve">The purpose of this template (C3) is for the MSG to conduct a </w:t>
      </w:r>
      <w:r>
        <w:rPr>
          <w:color w:val="000000"/>
          <w:highlight w:val="yellow"/>
        </w:rPr>
        <w:t>self-assessment</w:t>
      </w:r>
      <w:r>
        <w:rPr>
          <w:color w:val="000000"/>
          <w:highlight w:val="white"/>
        </w:rPr>
        <w:t xml:space="preserve"> on meeting the requirements of the component “licenses, contracts and ownership”, which covers Requirements 2.2-2.5.</w:t>
      </w:r>
      <w:r>
        <w:rPr>
          <w:b/>
          <w:bCs/>
          <w:color w:val="000000"/>
          <w:highlight w:val="white"/>
        </w:rPr>
        <w:t xml:space="preserve"> </w:t>
      </w:r>
      <w:r>
        <w:rPr>
          <w:color w:val="000000"/>
        </w:rPr>
        <w:t xml:space="preserve">Given that the information is assessed </w:t>
      </w:r>
      <w:r>
        <w:rPr>
          <w:i/>
          <w:iCs/>
          <w:color w:val="000000"/>
        </w:rPr>
        <w:t>per sector [if the country has two sectors],</w:t>
      </w:r>
      <w:r>
        <w:rPr>
          <w:color w:val="000000"/>
        </w:rPr>
        <w:t xml:space="preserve"> the self-assessment allows to uncover further areas of improvement particular to the sector, as the challenges and opportunities are often very different. </w:t>
      </w:r>
    </w:p>
    <w:p w14:paraId="2586A4F9" w14:textId="77777777" w:rsidR="00BB62F4" w:rsidRDefault="00000000">
      <w:pPr>
        <w:pBdr>
          <w:top w:val="nil"/>
          <w:left w:val="nil"/>
          <w:bottom w:val="nil"/>
          <w:right w:val="nil"/>
          <w:between w:val="nil"/>
        </w:pBdr>
        <w:spacing w:line="276" w:lineRule="auto"/>
        <w:rPr>
          <w:color w:val="000000"/>
        </w:rPr>
      </w:pPr>
      <w:r>
        <w:rPr>
          <w:color w:val="000000"/>
        </w:rPr>
        <w:t xml:space="preserve">The form is structured according to the requirements. Each requirement section contains: </w:t>
      </w:r>
    </w:p>
    <w:p w14:paraId="3973B4EE" w14:textId="77777777" w:rsidR="00BB62F4" w:rsidRDefault="00000000">
      <w:pPr>
        <w:numPr>
          <w:ilvl w:val="0"/>
          <w:numId w:val="31"/>
        </w:numPr>
        <w:pBdr>
          <w:top w:val="nil"/>
          <w:left w:val="nil"/>
          <w:bottom w:val="nil"/>
          <w:right w:val="nil"/>
          <w:between w:val="nil"/>
        </w:pBdr>
      </w:pPr>
      <w:r>
        <w:rPr>
          <w:color w:val="000000"/>
        </w:rPr>
        <w:t>A box with additional resources</w:t>
      </w:r>
    </w:p>
    <w:p w14:paraId="26F0EB73" w14:textId="77777777" w:rsidR="00BB62F4" w:rsidRDefault="00000000">
      <w:pPr>
        <w:numPr>
          <w:ilvl w:val="0"/>
          <w:numId w:val="31"/>
        </w:numPr>
        <w:pBdr>
          <w:top w:val="nil"/>
          <w:left w:val="nil"/>
          <w:bottom w:val="nil"/>
          <w:right w:val="nil"/>
          <w:between w:val="nil"/>
        </w:pBdr>
      </w:pPr>
      <w:r>
        <w:rPr>
          <w:color w:val="000000"/>
        </w:rPr>
        <w:t>Corrective actions from the previous Validation, where applicable</w:t>
      </w:r>
    </w:p>
    <w:p w14:paraId="03855E38" w14:textId="77777777" w:rsidR="00BB62F4" w:rsidRDefault="00000000">
      <w:pPr>
        <w:numPr>
          <w:ilvl w:val="0"/>
          <w:numId w:val="31"/>
        </w:numPr>
        <w:pBdr>
          <w:top w:val="nil"/>
          <w:left w:val="nil"/>
          <w:bottom w:val="nil"/>
          <w:right w:val="nil"/>
          <w:between w:val="nil"/>
        </w:pBdr>
      </w:pPr>
      <w:r>
        <w:rPr>
          <w:color w:val="000000"/>
        </w:rPr>
        <w:t>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p>
    <w:p w14:paraId="2E7C29BD" w14:textId="77777777" w:rsidR="00BB62F4" w:rsidRDefault="00000000">
      <w:pPr>
        <w:numPr>
          <w:ilvl w:val="0"/>
          <w:numId w:val="31"/>
        </w:numPr>
        <w:pBdr>
          <w:top w:val="nil"/>
          <w:left w:val="nil"/>
          <w:bottom w:val="nil"/>
          <w:right w:val="nil"/>
          <w:between w:val="nil"/>
        </w:pBdr>
      </w:pPr>
      <w:r>
        <w:rPr>
          <w:color w:val="000000"/>
        </w:rPr>
        <w:t>Comments from the Secretariat</w:t>
      </w:r>
    </w:p>
    <w:p w14:paraId="6C5A159E" w14:textId="77777777" w:rsidR="00BB62F4" w:rsidRDefault="00BB62F4">
      <w:pPr>
        <w:rPr>
          <w:color w:val="000000"/>
          <w:highlight w:val="white"/>
        </w:rPr>
      </w:pPr>
    </w:p>
    <w:p w14:paraId="56FC460F" w14:textId="77777777" w:rsidR="00BB62F4" w:rsidRDefault="00000000">
      <w:pPr>
        <w:rPr>
          <w:b/>
          <w:bCs/>
        </w:rPr>
      </w:pPr>
      <w:r>
        <w:rPr>
          <w:b/>
          <w:bCs/>
        </w:rPr>
        <w:t>When should this template be completed?</w:t>
      </w:r>
    </w:p>
    <w:p w14:paraId="27188A70" w14:textId="77777777" w:rsidR="00BB62F4" w:rsidRDefault="00000000">
      <w:pPr>
        <w:pBdr>
          <w:top w:val="nil"/>
          <w:left w:val="nil"/>
          <w:bottom w:val="nil"/>
          <w:right w:val="nil"/>
          <w:between w:val="nil"/>
        </w:pBdr>
        <w:spacing w:line="276" w:lineRule="auto"/>
        <w:rPr>
          <w:color w:val="000000"/>
        </w:rPr>
      </w:pPr>
      <w:r>
        <w:rPr>
          <w:color w:val="00000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Pr>
          <w:color w:val="000000"/>
          <w:highlight w:val="yellow"/>
        </w:rPr>
        <w:t>International Secretariat feedback</w:t>
      </w:r>
      <w:r>
        <w:rPr>
          <w:color w:val="000000"/>
        </w:rPr>
        <w:t>.</w:t>
      </w:r>
    </w:p>
    <w:p w14:paraId="7383AE1F" w14:textId="77777777" w:rsidR="00BB62F4" w:rsidRDefault="00000000">
      <w:pPr>
        <w:pBdr>
          <w:top w:val="nil"/>
          <w:left w:val="nil"/>
          <w:bottom w:val="nil"/>
          <w:right w:val="nil"/>
          <w:between w:val="nil"/>
        </w:pBdr>
        <w:spacing w:line="276" w:lineRule="auto"/>
        <w:rPr>
          <w:color w:val="000000"/>
        </w:rPr>
      </w:pPr>
      <w:r>
        <w:rPr>
          <w:b/>
          <w:bCs/>
          <w:color w:val="000000"/>
        </w:rPr>
        <w:t xml:space="preserve">The templates should be finalised and published by the commencement of Validation. </w:t>
      </w:r>
      <w:r>
        <w:rPr>
          <w:color w:val="000000"/>
        </w:rPr>
        <w:t xml:space="preserve">For </w:t>
      </w:r>
      <w:r>
        <w:rPr>
          <w:color w:val="000000"/>
          <w:highlight w:val="cyan"/>
        </w:rPr>
        <w:t>Validation</w:t>
      </w:r>
      <w:r>
        <w:rPr>
          <w:color w:val="000000"/>
        </w:rPr>
        <w:t xml:space="preserve">, this form serves as basis for assessing the country under this component. The form must be reviewed and </w:t>
      </w:r>
      <w:hyperlink w:anchor="_heading=h.9drmyyaok4j2">
        <w:r>
          <w:rPr>
            <w:color w:val="0000FF"/>
            <w:u w:val="single"/>
          </w:rPr>
          <w:t>signed off</w:t>
        </w:r>
      </w:hyperlink>
      <w:r>
        <w:rPr>
          <w:color w:val="000000"/>
        </w:rPr>
        <w:t xml:space="preserve"> by the multi-stakeholder group and submitted latest on the day of the commencement of Validation and be published on the country’s website. At this stage, it should be indicated on the form that the template is submitted for Validation. </w:t>
      </w:r>
    </w:p>
    <w:p w14:paraId="1DBBC763" w14:textId="77777777" w:rsidR="00BB62F4" w:rsidRDefault="00BB62F4">
      <w:pPr>
        <w:rPr>
          <w:b/>
          <w:bCs/>
        </w:rPr>
      </w:pPr>
    </w:p>
    <w:p w14:paraId="47DCD8A3" w14:textId="77777777" w:rsidR="00BB62F4" w:rsidRDefault="00000000">
      <w:pPr>
        <w:rPr>
          <w:b/>
          <w:bCs/>
        </w:rPr>
      </w:pPr>
      <w:r>
        <w:rPr>
          <w:b/>
          <w:bCs/>
        </w:rPr>
        <w:t>Who should fill this template?</w:t>
      </w:r>
    </w:p>
    <w:p w14:paraId="7E6FBD7A" w14:textId="77777777" w:rsidR="00BB62F4" w:rsidRDefault="00000000">
      <w:pPr>
        <w:pBdr>
          <w:top w:val="nil"/>
          <w:left w:val="nil"/>
          <w:bottom w:val="nil"/>
          <w:right w:val="nil"/>
          <w:between w:val="nil"/>
        </w:pBdr>
        <w:spacing w:line="276" w:lineRule="auto"/>
        <w:rPr>
          <w:color w:val="000000"/>
        </w:rPr>
      </w:pPr>
      <w:r>
        <w:rPr>
          <w:color w:val="000000"/>
        </w:rPr>
        <w:t xml:space="preserve">The </w:t>
      </w:r>
      <w:r>
        <w:rPr>
          <w:b/>
          <w:bCs/>
          <w:color w:val="000000"/>
        </w:rPr>
        <w:t xml:space="preserve">national secretariat </w:t>
      </w:r>
      <w:r>
        <w:rPr>
          <w:color w:val="000000"/>
        </w:rPr>
        <w:t>should fill up this template with support from government agencies and constituency members outside of the MSG. The International Secretariat can provide guidance. The MSG should review, discuss and give the final sign-off on the content of the template.</w:t>
      </w:r>
    </w:p>
    <w:p w14:paraId="1FC4F07A" w14:textId="77777777" w:rsidR="00BB62F4" w:rsidRDefault="00BB62F4">
      <w:pPr>
        <w:pBdr>
          <w:top w:val="nil"/>
          <w:left w:val="nil"/>
          <w:bottom w:val="nil"/>
          <w:right w:val="nil"/>
          <w:between w:val="nil"/>
        </w:pBdr>
        <w:spacing w:line="276" w:lineRule="auto"/>
        <w:rPr>
          <w:color w:val="000000"/>
        </w:rPr>
      </w:pPr>
    </w:p>
    <w:p w14:paraId="614A353C" w14:textId="77777777" w:rsidR="00BB62F4" w:rsidRDefault="00BB62F4">
      <w:pPr>
        <w:keepNext/>
        <w:keepLines/>
        <w:pBdr>
          <w:top w:val="nil"/>
          <w:left w:val="nil"/>
          <w:bottom w:val="nil"/>
          <w:right w:val="nil"/>
          <w:between w:val="nil"/>
        </w:pBdr>
        <w:spacing w:after="0" w:line="259" w:lineRule="auto"/>
        <w:rPr>
          <w:color w:val="000000"/>
        </w:rPr>
      </w:pPr>
      <w:bookmarkStart w:id="0" w:name="_heading=h.62xu8l9s3rut" w:colFirst="0" w:colLast="0"/>
      <w:bookmarkEnd w:id="0"/>
    </w:p>
    <w:p w14:paraId="76E9327C" w14:textId="77777777" w:rsidR="00BB62F4" w:rsidRDefault="00000000">
      <w:pPr>
        <w:spacing w:before="0" w:after="0"/>
      </w:pPr>
      <w:r>
        <w:br w:type="page"/>
      </w:r>
    </w:p>
    <w:p w14:paraId="6B42AA44" w14:textId="77777777" w:rsidR="00BB62F4" w:rsidRDefault="00000000">
      <w:pPr>
        <w:keepNext/>
        <w:keepLines/>
        <w:pBdr>
          <w:top w:val="nil"/>
          <w:left w:val="nil"/>
          <w:bottom w:val="nil"/>
          <w:right w:val="nil"/>
          <w:between w:val="nil"/>
        </w:pBdr>
        <w:spacing w:after="0" w:line="259" w:lineRule="auto"/>
        <w:rPr>
          <w:color w:val="2F5496"/>
          <w:sz w:val="32"/>
          <w:szCs w:val="32"/>
        </w:rPr>
      </w:pPr>
      <w:r>
        <w:rPr>
          <w:color w:val="2F5496"/>
          <w:sz w:val="32"/>
          <w:szCs w:val="32"/>
        </w:rPr>
        <w:lastRenderedPageBreak/>
        <w:t>In this form</w:t>
      </w:r>
    </w:p>
    <w:sdt>
      <w:sdtPr>
        <w:id w:val="-262578656"/>
        <w:docPartObj>
          <w:docPartGallery w:val="Table of Contents"/>
          <w:docPartUnique/>
        </w:docPartObj>
      </w:sdtPr>
      <w:sdtContent>
        <w:p w14:paraId="778AF034" w14:textId="77777777" w:rsidR="00BB62F4" w:rsidRDefault="00000000">
          <w:pPr>
            <w:pBdr>
              <w:top w:val="nil"/>
              <w:left w:val="nil"/>
              <w:bottom w:val="nil"/>
              <w:right w:val="nil"/>
              <w:between w:val="nil"/>
            </w:pBdr>
            <w:tabs>
              <w:tab w:val="right" w:pos="9062"/>
            </w:tabs>
            <w:spacing w:before="0" w:after="40"/>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efnsgjlypeem">
            <w:r>
              <w:rPr>
                <w:b/>
                <w:bCs/>
                <w:color w:val="000000"/>
              </w:rPr>
              <w:t>Requirement 2.2: Contract and license allocations</w:t>
            </w:r>
            <w:r>
              <w:rPr>
                <w:b/>
                <w:bCs/>
                <w:color w:val="000000"/>
              </w:rPr>
              <w:tab/>
              <w:t>4</w:t>
            </w:r>
          </w:hyperlink>
        </w:p>
        <w:p w14:paraId="282E04AF"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kq2p5wuxi67g">
            <w:r>
              <w:rPr>
                <w:color w:val="000000"/>
              </w:rPr>
              <w:t>I.</w:t>
            </w:r>
          </w:hyperlink>
          <w:hyperlink w:anchor="_heading=h.kq2p5wuxi67g">
            <w:r>
              <w:rPr>
                <w:rFonts w:ascii="Calibri" w:eastAsia="Calibri" w:hAnsi="Calibri" w:cs="Calibri"/>
                <w:color w:val="000000"/>
                <w:sz w:val="22"/>
                <w:szCs w:val="22"/>
              </w:rPr>
              <w:tab/>
            </w:r>
          </w:hyperlink>
          <w:r>
            <w:fldChar w:fldCharType="begin"/>
          </w:r>
          <w:r>
            <w:instrText xml:space="preserve"> PAGEREF _heading=h.kq2p5wuxi67g \h </w:instrText>
          </w:r>
          <w:r>
            <w:fldChar w:fldCharType="separate"/>
          </w:r>
          <w:r>
            <w:rPr>
              <w:color w:val="000000"/>
            </w:rPr>
            <w:t>Resources</w:t>
          </w:r>
          <w:r>
            <w:rPr>
              <w:color w:val="000000"/>
            </w:rPr>
            <w:tab/>
            <w:t>4</w:t>
          </w:r>
          <w:r>
            <w:fldChar w:fldCharType="end"/>
          </w:r>
        </w:p>
        <w:p w14:paraId="087688EA"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8g4k1fmzqarl">
            <w:r>
              <w:rPr>
                <w:color w:val="000000"/>
              </w:rPr>
              <w:t>II.</w:t>
            </w:r>
          </w:hyperlink>
          <w:hyperlink w:anchor="_heading=h.8g4k1fmzqarl">
            <w:r>
              <w:rPr>
                <w:rFonts w:ascii="Calibri" w:eastAsia="Calibri" w:hAnsi="Calibri" w:cs="Calibri"/>
                <w:color w:val="000000"/>
                <w:sz w:val="22"/>
                <w:szCs w:val="22"/>
              </w:rPr>
              <w:tab/>
            </w:r>
          </w:hyperlink>
          <w:r>
            <w:fldChar w:fldCharType="begin"/>
          </w:r>
          <w:r>
            <w:instrText xml:space="preserve"> PAGEREF _heading=h.8g4k1fmzqarl \h </w:instrText>
          </w:r>
          <w:r>
            <w:fldChar w:fldCharType="separate"/>
          </w:r>
          <w:r>
            <w:rPr>
              <w:color w:val="000000"/>
            </w:rPr>
            <w:t>Corrective actions / recommendations from previous Validation</w:t>
          </w:r>
          <w:r>
            <w:rPr>
              <w:color w:val="000000"/>
            </w:rPr>
            <w:tab/>
            <w:t>4</w:t>
          </w:r>
          <w:r>
            <w:fldChar w:fldCharType="end"/>
          </w:r>
        </w:p>
        <w:p w14:paraId="466F3C98"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5nrynik9pa49">
            <w:r>
              <w:rPr>
                <w:color w:val="000000"/>
              </w:rPr>
              <w:t>III.</w:t>
            </w:r>
          </w:hyperlink>
          <w:hyperlink w:anchor="_heading=h.5nrynik9pa49">
            <w:r>
              <w:rPr>
                <w:rFonts w:ascii="Calibri" w:eastAsia="Calibri" w:hAnsi="Calibri" w:cs="Calibri"/>
                <w:color w:val="000000"/>
                <w:sz w:val="22"/>
                <w:szCs w:val="22"/>
              </w:rPr>
              <w:tab/>
            </w:r>
          </w:hyperlink>
          <w:r>
            <w:fldChar w:fldCharType="begin"/>
          </w:r>
          <w:r>
            <w:instrText xml:space="preserve"> PAGEREF _heading=h.5nrynik9pa49 \h </w:instrText>
          </w:r>
          <w:r>
            <w:fldChar w:fldCharType="separate"/>
          </w:r>
          <w:r>
            <w:rPr>
              <w:color w:val="000000"/>
            </w:rPr>
            <w:t>Self-assessment</w:t>
          </w:r>
          <w:r>
            <w:rPr>
              <w:color w:val="000000"/>
            </w:rPr>
            <w:tab/>
            <w:t>4</w:t>
          </w:r>
          <w:r>
            <w:fldChar w:fldCharType="end"/>
          </w:r>
        </w:p>
        <w:p w14:paraId="347466EA"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ceyfom1ili73">
            <w:r>
              <w:rPr>
                <w:color w:val="000000"/>
              </w:rPr>
              <w:t>Holders of information</w:t>
            </w:r>
            <w:r>
              <w:rPr>
                <w:color w:val="000000"/>
              </w:rPr>
              <w:tab/>
              <w:t>4</w:t>
            </w:r>
          </w:hyperlink>
        </w:p>
        <w:p w14:paraId="709CF4B9"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mgq0sbldaoe">
            <w:r>
              <w:rPr>
                <w:color w:val="000000"/>
              </w:rPr>
              <w:t>Technical requirements</w:t>
            </w:r>
            <w:r>
              <w:rPr>
                <w:color w:val="000000"/>
              </w:rPr>
              <w:tab/>
              <w:t>5</w:t>
            </w:r>
          </w:hyperlink>
        </w:p>
        <w:p w14:paraId="5065559E"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wt6bll98kcqu">
            <w:r>
              <w:rPr>
                <w:color w:val="000000"/>
              </w:rPr>
              <w:t>Underlying objective</w:t>
            </w:r>
            <w:r>
              <w:rPr>
                <w:color w:val="000000"/>
              </w:rPr>
              <w:tab/>
              <w:t>13</w:t>
            </w:r>
          </w:hyperlink>
        </w:p>
        <w:p w14:paraId="5A926457"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lmm2zydzfdi1">
            <w:r>
              <w:rPr>
                <w:color w:val="000000"/>
              </w:rPr>
              <w:t>Conclusion</w:t>
            </w:r>
            <w:r>
              <w:rPr>
                <w:color w:val="000000"/>
              </w:rPr>
              <w:tab/>
              <w:t>14</w:t>
            </w:r>
          </w:hyperlink>
        </w:p>
        <w:p w14:paraId="3D20448F"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tcva8omrlv0y">
            <w:r>
              <w:rPr>
                <w:color w:val="000000"/>
              </w:rPr>
              <w:t>IV.</w:t>
            </w:r>
          </w:hyperlink>
          <w:hyperlink w:anchor="_heading=h.tcva8omrlv0y">
            <w:r>
              <w:rPr>
                <w:rFonts w:ascii="Calibri" w:eastAsia="Calibri" w:hAnsi="Calibri" w:cs="Calibri"/>
                <w:color w:val="000000"/>
                <w:sz w:val="22"/>
                <w:szCs w:val="22"/>
              </w:rPr>
              <w:tab/>
            </w:r>
          </w:hyperlink>
          <w:r>
            <w:fldChar w:fldCharType="begin"/>
          </w:r>
          <w:r>
            <w:instrText xml:space="preserve"> PAGEREF _heading=h.tcva8omrlv0y \h </w:instrText>
          </w:r>
          <w:r>
            <w:fldChar w:fldCharType="separate"/>
          </w:r>
          <w:r>
            <w:rPr>
              <w:color w:val="000000"/>
            </w:rPr>
            <w:t>International Secretariat feedback</w:t>
          </w:r>
          <w:r>
            <w:rPr>
              <w:color w:val="000000"/>
            </w:rPr>
            <w:tab/>
            <w:t>14</w:t>
          </w:r>
          <w:r>
            <w:fldChar w:fldCharType="end"/>
          </w:r>
        </w:p>
        <w:p w14:paraId="19F2EB75" w14:textId="77777777" w:rsidR="00BB62F4" w:rsidRDefault="00000000">
          <w:pPr>
            <w:pBdr>
              <w:top w:val="nil"/>
              <w:left w:val="nil"/>
              <w:bottom w:val="nil"/>
              <w:right w:val="nil"/>
              <w:between w:val="nil"/>
            </w:pBdr>
            <w:tabs>
              <w:tab w:val="right" w:pos="9062"/>
            </w:tabs>
            <w:spacing w:before="0" w:after="40"/>
            <w:rPr>
              <w:rFonts w:ascii="Calibri" w:eastAsia="Calibri" w:hAnsi="Calibri" w:cs="Calibri"/>
              <w:color w:val="000000"/>
              <w:sz w:val="22"/>
              <w:szCs w:val="22"/>
            </w:rPr>
          </w:pPr>
          <w:r>
            <w:rPr>
              <w:b/>
              <w:bCs/>
              <w:color w:val="0000FF"/>
              <w:u w:val="single"/>
            </w:rPr>
            <w:br/>
          </w:r>
          <w:hyperlink w:anchor="_heading=h.pvk6akvx1wm5">
            <w:r>
              <w:rPr>
                <w:b/>
                <w:bCs/>
                <w:color w:val="000000"/>
              </w:rPr>
              <w:t>Requirement 2.3: Register of licenses</w:t>
            </w:r>
            <w:r>
              <w:rPr>
                <w:b/>
                <w:bCs/>
                <w:color w:val="000000"/>
              </w:rPr>
              <w:tab/>
              <w:t>16</w:t>
            </w:r>
          </w:hyperlink>
        </w:p>
        <w:p w14:paraId="173FA240"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piws442rejsx">
            <w:r>
              <w:rPr>
                <w:color w:val="000000"/>
              </w:rPr>
              <w:t>I.</w:t>
            </w:r>
          </w:hyperlink>
          <w:hyperlink w:anchor="_heading=h.piws442rejsx">
            <w:r>
              <w:rPr>
                <w:rFonts w:ascii="Calibri" w:eastAsia="Calibri" w:hAnsi="Calibri" w:cs="Calibri"/>
                <w:color w:val="000000"/>
                <w:sz w:val="22"/>
                <w:szCs w:val="22"/>
              </w:rPr>
              <w:tab/>
            </w:r>
          </w:hyperlink>
          <w:r>
            <w:fldChar w:fldCharType="begin"/>
          </w:r>
          <w:r>
            <w:instrText xml:space="preserve"> PAGEREF _heading=h.piws442rejsx \h </w:instrText>
          </w:r>
          <w:r>
            <w:fldChar w:fldCharType="separate"/>
          </w:r>
          <w:r>
            <w:rPr>
              <w:color w:val="000000"/>
            </w:rPr>
            <w:t>Resources</w:t>
          </w:r>
          <w:r>
            <w:rPr>
              <w:color w:val="000000"/>
            </w:rPr>
            <w:tab/>
            <w:t>16</w:t>
          </w:r>
          <w:r>
            <w:fldChar w:fldCharType="end"/>
          </w:r>
        </w:p>
        <w:p w14:paraId="7F40344F"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isnq408c775i">
            <w:r>
              <w:rPr>
                <w:color w:val="000000"/>
              </w:rPr>
              <w:t>II.</w:t>
            </w:r>
          </w:hyperlink>
          <w:hyperlink w:anchor="_heading=h.isnq408c775i">
            <w:r>
              <w:rPr>
                <w:rFonts w:ascii="Calibri" w:eastAsia="Calibri" w:hAnsi="Calibri" w:cs="Calibri"/>
                <w:color w:val="000000"/>
                <w:sz w:val="22"/>
                <w:szCs w:val="22"/>
              </w:rPr>
              <w:tab/>
            </w:r>
          </w:hyperlink>
          <w:r>
            <w:fldChar w:fldCharType="begin"/>
          </w:r>
          <w:r>
            <w:instrText xml:space="preserve"> PAGEREF _heading=h.isnq408c775i \h </w:instrText>
          </w:r>
          <w:r>
            <w:fldChar w:fldCharType="separate"/>
          </w:r>
          <w:r>
            <w:rPr>
              <w:color w:val="000000"/>
            </w:rPr>
            <w:t>Corrective actions / recommendations from previous Validation</w:t>
          </w:r>
          <w:r>
            <w:rPr>
              <w:color w:val="000000"/>
            </w:rPr>
            <w:tab/>
            <w:t>16</w:t>
          </w:r>
          <w:r>
            <w:fldChar w:fldCharType="end"/>
          </w:r>
        </w:p>
        <w:p w14:paraId="5D23AA57"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pafjodn65aer">
            <w:r>
              <w:rPr>
                <w:color w:val="000000"/>
              </w:rPr>
              <w:t>III.</w:t>
            </w:r>
          </w:hyperlink>
          <w:hyperlink w:anchor="_heading=h.pafjodn65aer">
            <w:r>
              <w:rPr>
                <w:rFonts w:ascii="Calibri" w:eastAsia="Calibri" w:hAnsi="Calibri" w:cs="Calibri"/>
                <w:color w:val="000000"/>
                <w:sz w:val="22"/>
                <w:szCs w:val="22"/>
              </w:rPr>
              <w:tab/>
            </w:r>
          </w:hyperlink>
          <w:r>
            <w:fldChar w:fldCharType="begin"/>
          </w:r>
          <w:r>
            <w:instrText xml:space="preserve"> PAGEREF _heading=h.pafjodn65aer \h </w:instrText>
          </w:r>
          <w:r>
            <w:fldChar w:fldCharType="separate"/>
          </w:r>
          <w:r>
            <w:rPr>
              <w:color w:val="000000"/>
            </w:rPr>
            <w:t>Self-assessment</w:t>
          </w:r>
          <w:r>
            <w:rPr>
              <w:color w:val="000000"/>
            </w:rPr>
            <w:tab/>
            <w:t>16</w:t>
          </w:r>
          <w:r>
            <w:fldChar w:fldCharType="end"/>
          </w:r>
        </w:p>
        <w:p w14:paraId="3C4ABE52"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sbrjfmotey">
            <w:r>
              <w:rPr>
                <w:color w:val="000000"/>
              </w:rPr>
              <w:t>Holders of information</w:t>
            </w:r>
            <w:r>
              <w:rPr>
                <w:color w:val="000000"/>
              </w:rPr>
              <w:tab/>
              <w:t>16</w:t>
            </w:r>
          </w:hyperlink>
        </w:p>
        <w:p w14:paraId="1A742D27"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r13eq75s3xdz">
            <w:r>
              <w:rPr>
                <w:color w:val="000000"/>
              </w:rPr>
              <w:t>Technical requirements</w:t>
            </w:r>
            <w:r>
              <w:rPr>
                <w:color w:val="000000"/>
              </w:rPr>
              <w:tab/>
              <w:t>16</w:t>
            </w:r>
          </w:hyperlink>
        </w:p>
        <w:p w14:paraId="75F4F114"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hk5ksajh02fs">
            <w:r>
              <w:rPr>
                <w:color w:val="000000"/>
              </w:rPr>
              <w:t>Underlying objective</w:t>
            </w:r>
            <w:r>
              <w:rPr>
                <w:color w:val="000000"/>
              </w:rPr>
              <w:tab/>
              <w:t>19</w:t>
            </w:r>
          </w:hyperlink>
        </w:p>
        <w:p w14:paraId="50D18A25"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z0lbwhraise">
            <w:r>
              <w:rPr>
                <w:color w:val="000000"/>
              </w:rPr>
              <w:t>Conclusion</w:t>
            </w:r>
            <w:r>
              <w:rPr>
                <w:color w:val="000000"/>
              </w:rPr>
              <w:tab/>
              <w:t>20</w:t>
            </w:r>
          </w:hyperlink>
        </w:p>
        <w:p w14:paraId="11AD8D47"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no97cqdhlqtb">
            <w:r>
              <w:rPr>
                <w:color w:val="000000"/>
              </w:rPr>
              <w:t>IV.</w:t>
            </w:r>
          </w:hyperlink>
          <w:hyperlink w:anchor="_heading=h.no97cqdhlqtb">
            <w:r>
              <w:rPr>
                <w:rFonts w:ascii="Calibri" w:eastAsia="Calibri" w:hAnsi="Calibri" w:cs="Calibri"/>
                <w:color w:val="000000"/>
                <w:sz w:val="22"/>
                <w:szCs w:val="22"/>
              </w:rPr>
              <w:tab/>
            </w:r>
          </w:hyperlink>
          <w:r>
            <w:fldChar w:fldCharType="begin"/>
          </w:r>
          <w:r>
            <w:instrText xml:space="preserve"> PAGEREF _heading=h.no97cqdhlqtb \h </w:instrText>
          </w:r>
          <w:r>
            <w:fldChar w:fldCharType="separate"/>
          </w:r>
          <w:r>
            <w:rPr>
              <w:color w:val="000000"/>
            </w:rPr>
            <w:t>International Secretariat feedback</w:t>
          </w:r>
          <w:r>
            <w:rPr>
              <w:color w:val="000000"/>
            </w:rPr>
            <w:tab/>
            <w:t>20</w:t>
          </w:r>
          <w:r>
            <w:fldChar w:fldCharType="end"/>
          </w:r>
        </w:p>
        <w:p w14:paraId="4A119C7B" w14:textId="77777777" w:rsidR="00BB62F4" w:rsidRDefault="00000000">
          <w:pPr>
            <w:pBdr>
              <w:top w:val="nil"/>
              <w:left w:val="nil"/>
              <w:bottom w:val="nil"/>
              <w:right w:val="nil"/>
              <w:between w:val="nil"/>
            </w:pBdr>
            <w:tabs>
              <w:tab w:val="right" w:pos="9062"/>
            </w:tabs>
            <w:spacing w:before="0" w:after="40"/>
            <w:rPr>
              <w:rFonts w:ascii="Calibri" w:eastAsia="Calibri" w:hAnsi="Calibri" w:cs="Calibri"/>
              <w:color w:val="000000"/>
              <w:sz w:val="22"/>
              <w:szCs w:val="22"/>
            </w:rPr>
          </w:pPr>
          <w:r>
            <w:rPr>
              <w:b/>
              <w:bCs/>
              <w:color w:val="0000FF"/>
              <w:u w:val="single"/>
            </w:rPr>
            <w:br/>
          </w:r>
          <w:hyperlink w:anchor="_heading=h.3sbmhs4fbyhm">
            <w:r>
              <w:rPr>
                <w:b/>
                <w:bCs/>
                <w:color w:val="000000"/>
              </w:rPr>
              <w:t>Requirement 2.4: Contracts and licenses</w:t>
            </w:r>
            <w:r>
              <w:rPr>
                <w:b/>
                <w:bCs/>
                <w:color w:val="000000"/>
              </w:rPr>
              <w:tab/>
              <w:t>22</w:t>
            </w:r>
          </w:hyperlink>
        </w:p>
        <w:p w14:paraId="20AD03A9"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3dpr8cm7jcql">
            <w:r>
              <w:rPr>
                <w:color w:val="000000"/>
              </w:rPr>
              <w:t>I.</w:t>
            </w:r>
          </w:hyperlink>
          <w:hyperlink w:anchor="_heading=h.3dpr8cm7jcql">
            <w:r>
              <w:rPr>
                <w:rFonts w:ascii="Calibri" w:eastAsia="Calibri" w:hAnsi="Calibri" w:cs="Calibri"/>
                <w:color w:val="000000"/>
                <w:sz w:val="22"/>
                <w:szCs w:val="22"/>
              </w:rPr>
              <w:tab/>
            </w:r>
          </w:hyperlink>
          <w:r>
            <w:fldChar w:fldCharType="begin"/>
          </w:r>
          <w:r>
            <w:instrText xml:space="preserve"> PAGEREF _heading=h.3dpr8cm7jcql \h </w:instrText>
          </w:r>
          <w:r>
            <w:fldChar w:fldCharType="separate"/>
          </w:r>
          <w:r>
            <w:rPr>
              <w:color w:val="000000"/>
            </w:rPr>
            <w:t>Resources</w:t>
          </w:r>
          <w:r>
            <w:rPr>
              <w:color w:val="000000"/>
            </w:rPr>
            <w:tab/>
            <w:t>22</w:t>
          </w:r>
          <w:r>
            <w:fldChar w:fldCharType="end"/>
          </w:r>
        </w:p>
        <w:p w14:paraId="2872303B"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fnsdnoxk2vao">
            <w:r>
              <w:rPr>
                <w:color w:val="000000"/>
              </w:rPr>
              <w:t>II.</w:t>
            </w:r>
          </w:hyperlink>
          <w:hyperlink w:anchor="_heading=h.fnsdnoxk2vao">
            <w:r>
              <w:rPr>
                <w:rFonts w:ascii="Calibri" w:eastAsia="Calibri" w:hAnsi="Calibri" w:cs="Calibri"/>
                <w:color w:val="000000"/>
                <w:sz w:val="22"/>
                <w:szCs w:val="22"/>
              </w:rPr>
              <w:tab/>
            </w:r>
          </w:hyperlink>
          <w:r>
            <w:fldChar w:fldCharType="begin"/>
          </w:r>
          <w:r>
            <w:instrText xml:space="preserve"> PAGEREF _heading=h.fnsdnoxk2vao \h </w:instrText>
          </w:r>
          <w:r>
            <w:fldChar w:fldCharType="separate"/>
          </w:r>
          <w:r>
            <w:rPr>
              <w:color w:val="000000"/>
            </w:rPr>
            <w:t>Corrective actions / recommendations from previous Validation</w:t>
          </w:r>
          <w:r>
            <w:rPr>
              <w:color w:val="000000"/>
            </w:rPr>
            <w:tab/>
            <w:t>22</w:t>
          </w:r>
          <w:r>
            <w:fldChar w:fldCharType="end"/>
          </w:r>
        </w:p>
        <w:p w14:paraId="3FB10600"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swmhn1gfrrjs">
            <w:r>
              <w:rPr>
                <w:color w:val="000000"/>
              </w:rPr>
              <w:t>III.</w:t>
            </w:r>
          </w:hyperlink>
          <w:hyperlink w:anchor="_heading=h.swmhn1gfrrjs">
            <w:r>
              <w:rPr>
                <w:rFonts w:ascii="Calibri" w:eastAsia="Calibri" w:hAnsi="Calibri" w:cs="Calibri"/>
                <w:color w:val="000000"/>
                <w:sz w:val="22"/>
                <w:szCs w:val="22"/>
              </w:rPr>
              <w:tab/>
            </w:r>
          </w:hyperlink>
          <w:r>
            <w:fldChar w:fldCharType="begin"/>
          </w:r>
          <w:r>
            <w:instrText xml:space="preserve"> PAGEREF _heading=h.swmhn1gfrrjs \h </w:instrText>
          </w:r>
          <w:r>
            <w:fldChar w:fldCharType="separate"/>
          </w:r>
          <w:r>
            <w:rPr>
              <w:color w:val="000000"/>
            </w:rPr>
            <w:t>Self-assessment</w:t>
          </w:r>
          <w:r>
            <w:rPr>
              <w:color w:val="000000"/>
            </w:rPr>
            <w:tab/>
            <w:t>22</w:t>
          </w:r>
          <w:r>
            <w:fldChar w:fldCharType="end"/>
          </w:r>
        </w:p>
        <w:p w14:paraId="053FFB2E"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8taono3oz4al">
            <w:r>
              <w:rPr>
                <w:color w:val="000000"/>
              </w:rPr>
              <w:t>Holders of information</w:t>
            </w:r>
            <w:r>
              <w:rPr>
                <w:color w:val="000000"/>
              </w:rPr>
              <w:tab/>
              <w:t>22</w:t>
            </w:r>
          </w:hyperlink>
        </w:p>
        <w:p w14:paraId="0293CAA3"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bondpctxs6z0">
            <w:r>
              <w:rPr>
                <w:color w:val="000000"/>
              </w:rPr>
              <w:t>Technical requirements</w:t>
            </w:r>
            <w:r>
              <w:rPr>
                <w:color w:val="000000"/>
              </w:rPr>
              <w:tab/>
              <w:t>23</w:t>
            </w:r>
          </w:hyperlink>
        </w:p>
        <w:p w14:paraId="7AD18828"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v7w9p19svaid">
            <w:r>
              <w:rPr>
                <w:color w:val="000000"/>
              </w:rPr>
              <w:t>Underlying objective</w:t>
            </w:r>
            <w:r>
              <w:rPr>
                <w:color w:val="000000"/>
              </w:rPr>
              <w:tab/>
              <w:t>28</w:t>
            </w:r>
          </w:hyperlink>
        </w:p>
        <w:p w14:paraId="53616889"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hkens4m3415s">
            <w:r>
              <w:rPr>
                <w:color w:val="000000"/>
              </w:rPr>
              <w:t>Conclusion</w:t>
            </w:r>
            <w:r>
              <w:rPr>
                <w:color w:val="000000"/>
              </w:rPr>
              <w:tab/>
              <w:t>30</w:t>
            </w:r>
          </w:hyperlink>
        </w:p>
        <w:p w14:paraId="5AF41FDE"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w3pc2v2c90yc">
            <w:r>
              <w:rPr>
                <w:color w:val="000000"/>
              </w:rPr>
              <w:t>IV.</w:t>
            </w:r>
          </w:hyperlink>
          <w:hyperlink w:anchor="_heading=h.w3pc2v2c90yc">
            <w:r>
              <w:rPr>
                <w:rFonts w:ascii="Calibri" w:eastAsia="Calibri" w:hAnsi="Calibri" w:cs="Calibri"/>
                <w:color w:val="000000"/>
                <w:sz w:val="22"/>
                <w:szCs w:val="22"/>
              </w:rPr>
              <w:tab/>
            </w:r>
          </w:hyperlink>
          <w:r>
            <w:fldChar w:fldCharType="begin"/>
          </w:r>
          <w:r>
            <w:instrText xml:space="preserve"> PAGEREF _heading=h.w3pc2v2c90yc \h </w:instrText>
          </w:r>
          <w:r>
            <w:fldChar w:fldCharType="separate"/>
          </w:r>
          <w:r>
            <w:rPr>
              <w:color w:val="000000"/>
            </w:rPr>
            <w:t>International Secretariat feedback</w:t>
          </w:r>
          <w:r>
            <w:rPr>
              <w:color w:val="000000"/>
            </w:rPr>
            <w:tab/>
            <w:t>30</w:t>
          </w:r>
          <w:r>
            <w:fldChar w:fldCharType="end"/>
          </w:r>
        </w:p>
        <w:p w14:paraId="62776828" w14:textId="77777777" w:rsidR="00BB62F4" w:rsidRDefault="00000000">
          <w:pPr>
            <w:pBdr>
              <w:top w:val="nil"/>
              <w:left w:val="nil"/>
              <w:bottom w:val="nil"/>
              <w:right w:val="nil"/>
              <w:between w:val="nil"/>
            </w:pBdr>
            <w:tabs>
              <w:tab w:val="right" w:pos="9062"/>
            </w:tabs>
            <w:spacing w:before="0" w:after="40"/>
            <w:rPr>
              <w:rFonts w:ascii="Calibri" w:eastAsia="Calibri" w:hAnsi="Calibri" w:cs="Calibri"/>
              <w:color w:val="000000"/>
              <w:sz w:val="22"/>
              <w:szCs w:val="22"/>
            </w:rPr>
          </w:pPr>
          <w:r>
            <w:rPr>
              <w:b/>
              <w:bCs/>
              <w:color w:val="0000FF"/>
              <w:u w:val="single"/>
            </w:rPr>
            <w:br/>
          </w:r>
          <w:hyperlink w:anchor="_heading=h.x44da4nx9rxx">
            <w:r>
              <w:rPr>
                <w:b/>
                <w:bCs/>
                <w:color w:val="000000"/>
              </w:rPr>
              <w:t>Requirement 2.5: Legal and beneficial ownership</w:t>
            </w:r>
            <w:r>
              <w:rPr>
                <w:b/>
                <w:bCs/>
                <w:color w:val="000000"/>
              </w:rPr>
              <w:tab/>
              <w:t>32</w:t>
            </w:r>
          </w:hyperlink>
        </w:p>
        <w:p w14:paraId="19E39E93"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k8hbqho47geo">
            <w:r>
              <w:rPr>
                <w:color w:val="000000"/>
              </w:rPr>
              <w:t>I.</w:t>
            </w:r>
          </w:hyperlink>
          <w:hyperlink w:anchor="_heading=h.k8hbqho47geo">
            <w:r>
              <w:rPr>
                <w:rFonts w:ascii="Calibri" w:eastAsia="Calibri" w:hAnsi="Calibri" w:cs="Calibri"/>
                <w:color w:val="000000"/>
                <w:sz w:val="22"/>
                <w:szCs w:val="22"/>
              </w:rPr>
              <w:tab/>
            </w:r>
          </w:hyperlink>
          <w:r>
            <w:fldChar w:fldCharType="begin"/>
          </w:r>
          <w:r>
            <w:instrText xml:space="preserve"> PAGEREF _heading=h.k8hbqho47geo \h </w:instrText>
          </w:r>
          <w:r>
            <w:fldChar w:fldCharType="separate"/>
          </w:r>
          <w:r>
            <w:rPr>
              <w:color w:val="000000"/>
            </w:rPr>
            <w:t>Resources</w:t>
          </w:r>
          <w:r>
            <w:rPr>
              <w:color w:val="000000"/>
            </w:rPr>
            <w:tab/>
            <w:t>32</w:t>
          </w:r>
          <w:r>
            <w:fldChar w:fldCharType="end"/>
          </w:r>
        </w:p>
        <w:p w14:paraId="4C473149"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f16gjcz5602l">
            <w:r>
              <w:rPr>
                <w:color w:val="000000"/>
              </w:rPr>
              <w:t>II.</w:t>
            </w:r>
          </w:hyperlink>
          <w:hyperlink w:anchor="_heading=h.f16gjcz5602l">
            <w:r>
              <w:rPr>
                <w:rFonts w:ascii="Calibri" w:eastAsia="Calibri" w:hAnsi="Calibri" w:cs="Calibri"/>
                <w:color w:val="000000"/>
                <w:sz w:val="22"/>
                <w:szCs w:val="22"/>
              </w:rPr>
              <w:tab/>
            </w:r>
          </w:hyperlink>
          <w:r>
            <w:fldChar w:fldCharType="begin"/>
          </w:r>
          <w:r>
            <w:instrText xml:space="preserve"> PAGEREF _heading=h.f16gjcz5602l \h </w:instrText>
          </w:r>
          <w:r>
            <w:fldChar w:fldCharType="separate"/>
          </w:r>
          <w:r>
            <w:rPr>
              <w:color w:val="000000"/>
            </w:rPr>
            <w:t>Corrective actions / recommendations from previous Validation</w:t>
          </w:r>
          <w:r>
            <w:rPr>
              <w:color w:val="000000"/>
            </w:rPr>
            <w:tab/>
            <w:t>32</w:t>
          </w:r>
          <w:r>
            <w:fldChar w:fldCharType="end"/>
          </w:r>
        </w:p>
        <w:p w14:paraId="623AAD16"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7aj0tr6zdh29">
            <w:r>
              <w:rPr>
                <w:color w:val="000000"/>
              </w:rPr>
              <w:t>III.</w:t>
            </w:r>
          </w:hyperlink>
          <w:hyperlink w:anchor="_heading=h.7aj0tr6zdh29">
            <w:r>
              <w:rPr>
                <w:rFonts w:ascii="Calibri" w:eastAsia="Calibri" w:hAnsi="Calibri" w:cs="Calibri"/>
                <w:color w:val="000000"/>
                <w:sz w:val="22"/>
                <w:szCs w:val="22"/>
              </w:rPr>
              <w:tab/>
            </w:r>
          </w:hyperlink>
          <w:r>
            <w:fldChar w:fldCharType="begin"/>
          </w:r>
          <w:r>
            <w:instrText xml:space="preserve"> PAGEREF _heading=h.7aj0tr6zdh29 \h </w:instrText>
          </w:r>
          <w:r>
            <w:fldChar w:fldCharType="separate"/>
          </w:r>
          <w:r>
            <w:rPr>
              <w:color w:val="000000"/>
            </w:rPr>
            <w:t>Self-assessment</w:t>
          </w:r>
          <w:r>
            <w:rPr>
              <w:color w:val="000000"/>
            </w:rPr>
            <w:tab/>
            <w:t>32</w:t>
          </w:r>
          <w:r>
            <w:fldChar w:fldCharType="end"/>
          </w:r>
        </w:p>
        <w:p w14:paraId="000F1098"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hwv70qto27sh">
            <w:r>
              <w:rPr>
                <w:color w:val="000000"/>
              </w:rPr>
              <w:t>Holders of information</w:t>
            </w:r>
            <w:r>
              <w:rPr>
                <w:color w:val="000000"/>
              </w:rPr>
              <w:tab/>
              <w:t>32</w:t>
            </w:r>
          </w:hyperlink>
        </w:p>
        <w:p w14:paraId="5CFC4466"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lzs767mgf02w">
            <w:r>
              <w:rPr>
                <w:color w:val="000000"/>
              </w:rPr>
              <w:t>Technical requirements</w:t>
            </w:r>
            <w:r>
              <w:rPr>
                <w:color w:val="000000"/>
              </w:rPr>
              <w:tab/>
              <w:t>33</w:t>
            </w:r>
          </w:hyperlink>
        </w:p>
        <w:p w14:paraId="54D8EB33"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479i6v7e38vh">
            <w:r>
              <w:rPr>
                <w:color w:val="000000"/>
              </w:rPr>
              <w:t>Underlying objective</w:t>
            </w:r>
            <w:r>
              <w:rPr>
                <w:color w:val="000000"/>
              </w:rPr>
              <w:tab/>
              <w:t>41</w:t>
            </w:r>
          </w:hyperlink>
        </w:p>
        <w:p w14:paraId="20C3EB75" w14:textId="77777777" w:rsidR="00BB62F4" w:rsidRDefault="00000000">
          <w:pPr>
            <w:pBdr>
              <w:top w:val="nil"/>
              <w:left w:val="nil"/>
              <w:bottom w:val="nil"/>
              <w:right w:val="nil"/>
              <w:between w:val="nil"/>
            </w:pBdr>
            <w:tabs>
              <w:tab w:val="right" w:leader="dot" w:pos="9062"/>
            </w:tabs>
            <w:spacing w:before="0" w:after="40"/>
            <w:ind w:left="440"/>
            <w:rPr>
              <w:rFonts w:ascii="Calibri" w:eastAsia="Calibri" w:hAnsi="Calibri" w:cs="Calibri"/>
              <w:color w:val="000000"/>
              <w:sz w:val="22"/>
              <w:szCs w:val="22"/>
            </w:rPr>
          </w:pPr>
          <w:hyperlink w:anchor="_heading=h.n75xdikakxnn">
            <w:r>
              <w:rPr>
                <w:color w:val="000000"/>
              </w:rPr>
              <w:t>Conclusion</w:t>
            </w:r>
            <w:r>
              <w:rPr>
                <w:color w:val="000000"/>
              </w:rPr>
              <w:tab/>
              <w:t>42</w:t>
            </w:r>
          </w:hyperlink>
        </w:p>
        <w:p w14:paraId="172C9883" w14:textId="77777777" w:rsidR="00BB62F4" w:rsidRDefault="00000000">
          <w:pPr>
            <w:pBdr>
              <w:top w:val="nil"/>
              <w:left w:val="nil"/>
              <w:bottom w:val="nil"/>
              <w:right w:val="nil"/>
              <w:between w:val="nil"/>
            </w:pBdr>
            <w:tabs>
              <w:tab w:val="left" w:pos="660"/>
              <w:tab w:val="right" w:leader="dot" w:pos="9062"/>
            </w:tabs>
            <w:spacing w:before="0" w:after="40"/>
            <w:ind w:left="220"/>
            <w:rPr>
              <w:rFonts w:ascii="Calibri" w:eastAsia="Calibri" w:hAnsi="Calibri" w:cs="Calibri"/>
              <w:color w:val="000000"/>
              <w:sz w:val="22"/>
              <w:szCs w:val="22"/>
            </w:rPr>
          </w:pPr>
          <w:hyperlink w:anchor="_heading=h.326a0gbg7ow7">
            <w:r>
              <w:rPr>
                <w:color w:val="000000"/>
              </w:rPr>
              <w:t>IV.</w:t>
            </w:r>
          </w:hyperlink>
          <w:hyperlink w:anchor="_heading=h.326a0gbg7ow7">
            <w:r>
              <w:rPr>
                <w:rFonts w:ascii="Calibri" w:eastAsia="Calibri" w:hAnsi="Calibri" w:cs="Calibri"/>
                <w:color w:val="000000"/>
                <w:sz w:val="22"/>
                <w:szCs w:val="22"/>
              </w:rPr>
              <w:tab/>
            </w:r>
          </w:hyperlink>
          <w:r>
            <w:fldChar w:fldCharType="begin"/>
          </w:r>
          <w:r>
            <w:instrText xml:space="preserve"> PAGEREF _heading=h.326a0gbg7ow7 \h </w:instrText>
          </w:r>
          <w:r>
            <w:fldChar w:fldCharType="separate"/>
          </w:r>
          <w:r>
            <w:rPr>
              <w:color w:val="000000"/>
            </w:rPr>
            <w:t>International Secretariat feedback</w:t>
          </w:r>
          <w:r>
            <w:rPr>
              <w:color w:val="000000"/>
            </w:rPr>
            <w:tab/>
            <w:t>43</w:t>
          </w:r>
          <w:r>
            <w:fldChar w:fldCharType="end"/>
          </w:r>
        </w:p>
        <w:p w14:paraId="24E38520" w14:textId="77777777" w:rsidR="00BB62F4" w:rsidRDefault="00000000">
          <w:pPr>
            <w:pBdr>
              <w:top w:val="nil"/>
              <w:left w:val="nil"/>
              <w:bottom w:val="nil"/>
              <w:right w:val="nil"/>
              <w:between w:val="nil"/>
            </w:pBdr>
            <w:tabs>
              <w:tab w:val="right" w:pos="9062"/>
            </w:tabs>
            <w:spacing w:before="0" w:after="40"/>
            <w:rPr>
              <w:rFonts w:ascii="Calibri" w:eastAsia="Calibri" w:hAnsi="Calibri" w:cs="Calibri"/>
              <w:color w:val="000000"/>
              <w:sz w:val="22"/>
              <w:szCs w:val="22"/>
            </w:rPr>
          </w:pPr>
          <w:r>
            <w:rPr>
              <w:b/>
              <w:bCs/>
              <w:color w:val="0000FF"/>
              <w:u w:val="single"/>
            </w:rPr>
            <w:br/>
          </w:r>
          <w:hyperlink w:anchor="_heading=h.itfhspdi738s">
            <w:r>
              <w:rPr>
                <w:b/>
                <w:bCs/>
                <w:color w:val="000000"/>
                <w:highlight w:val="cyan"/>
              </w:rPr>
              <w:t>For Validation</w:t>
            </w:r>
          </w:hyperlink>
          <w:hyperlink w:anchor="_heading=h.itfhspdi738s">
            <w:r>
              <w:rPr>
                <w:b/>
                <w:bCs/>
                <w:color w:val="000000"/>
              </w:rPr>
              <w:t>: MSG sign-off</w:t>
            </w:r>
            <w:r>
              <w:rPr>
                <w:b/>
                <w:bCs/>
                <w:color w:val="000000"/>
              </w:rPr>
              <w:tab/>
              <w:t>44</w:t>
            </w:r>
          </w:hyperlink>
        </w:p>
        <w:p w14:paraId="4776E48E" w14:textId="77777777" w:rsidR="00BB62F4" w:rsidRDefault="00000000">
          <w:pPr>
            <w:spacing w:before="0" w:after="40"/>
          </w:pPr>
          <w:r>
            <w:fldChar w:fldCharType="end"/>
          </w:r>
        </w:p>
      </w:sdtContent>
    </w:sdt>
    <w:p w14:paraId="372B03D0" w14:textId="77777777" w:rsidR="00BB62F4" w:rsidRDefault="00000000">
      <w:pPr>
        <w:spacing w:before="0" w:after="0"/>
        <w:rPr>
          <w:rFonts w:ascii="Libre Franklin Medium" w:eastAsia="Libre Franklin Medium" w:hAnsi="Libre Franklin Medium" w:cs="Libre Franklin Medium"/>
          <w:color w:val="1A4066"/>
          <w:sz w:val="36"/>
          <w:szCs w:val="36"/>
        </w:rPr>
      </w:pPr>
      <w:r>
        <w:br w:type="page"/>
      </w:r>
    </w:p>
    <w:p w14:paraId="083E0F71" w14:textId="77777777" w:rsidR="00BB62F4" w:rsidRDefault="00000000">
      <w:pPr>
        <w:pStyle w:val="Heading1"/>
      </w:pPr>
      <w:bookmarkStart w:id="1" w:name="_heading=h.efnsgjlypeem" w:colFirst="0" w:colLast="0"/>
      <w:bookmarkEnd w:id="1"/>
      <w:r>
        <w:lastRenderedPageBreak/>
        <w:t>Requirement 2.2: Contract and license allocations</w:t>
      </w:r>
    </w:p>
    <w:p w14:paraId="4FE32376" w14:textId="77777777" w:rsidR="00BB62F4" w:rsidRDefault="00000000">
      <w:pPr>
        <w:pStyle w:val="Heading2"/>
        <w:numPr>
          <w:ilvl w:val="0"/>
          <w:numId w:val="42"/>
        </w:numPr>
      </w:pPr>
      <w:bookmarkStart w:id="2" w:name="_heading=h.kq2p5wuxi67g" w:colFirst="0" w:colLast="0"/>
      <w:bookmarkEnd w:id="2"/>
      <w:r>
        <w:t>Resources</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239EAD8C" w14:textId="77777777">
        <w:tc>
          <w:tcPr>
            <w:tcW w:w="9062" w:type="dxa"/>
            <w:tcBorders>
              <w:top w:val="nil"/>
              <w:left w:val="nil"/>
              <w:bottom w:val="nil"/>
              <w:right w:val="nil"/>
            </w:tcBorders>
            <w:shd w:val="clear" w:color="auto" w:fill="EDF1F9"/>
          </w:tcPr>
          <w:bookmarkStart w:id="3" w:name="_heading=h.68b73cbtr12g" w:colFirst="0" w:colLast="0"/>
          <w:bookmarkEnd w:id="3"/>
          <w:p w14:paraId="57D455A9" w14:textId="77777777" w:rsidR="00BB62F4" w:rsidRDefault="00000000">
            <w:pPr>
              <w:numPr>
                <w:ilvl w:val="0"/>
                <w:numId w:val="53"/>
              </w:numPr>
              <w:pBdr>
                <w:top w:val="nil"/>
                <w:left w:val="nil"/>
                <w:bottom w:val="nil"/>
                <w:right w:val="nil"/>
                <w:between w:val="nil"/>
              </w:pBdr>
              <w:rPr>
                <w:color w:val="0000FF"/>
                <w:u w:val="single"/>
              </w:rPr>
            </w:pPr>
            <w:r>
              <w:fldChar w:fldCharType="begin"/>
            </w:r>
            <w:r>
              <w:instrText>HYPERLINK "https://eiti.org/eiti-requirements" \l "_2-contract-and-license-allocations--17287" \h</w:instrText>
            </w:r>
            <w:r>
              <w:fldChar w:fldCharType="separate"/>
            </w:r>
            <w:r>
              <w:rPr>
                <w:color w:val="0000FF"/>
                <w:u w:val="single"/>
              </w:rPr>
              <w:t>Requirement in full</w:t>
            </w:r>
            <w:r>
              <w:fldChar w:fldCharType="end"/>
            </w:r>
            <w:r>
              <w:rPr>
                <w:color w:val="000000"/>
              </w:rPr>
              <w:t xml:space="preserve">, </w:t>
            </w:r>
            <w:hyperlink r:id="rId8" w:anchor="requirement-22-contract-and-license-allocations-18983">
              <w:r>
                <w:rPr>
                  <w:color w:val="0000FF"/>
                  <w:u w:val="single"/>
                </w:rPr>
                <w:t>Validation guide</w:t>
              </w:r>
            </w:hyperlink>
            <w:r>
              <w:rPr>
                <w:color w:val="0000FF"/>
                <w:u w:val="single"/>
              </w:rPr>
              <w:t xml:space="preserve">. </w:t>
            </w:r>
          </w:p>
          <w:p w14:paraId="07E70E89" w14:textId="77777777" w:rsidR="00BB62F4" w:rsidRDefault="00000000">
            <w:pPr>
              <w:numPr>
                <w:ilvl w:val="0"/>
                <w:numId w:val="53"/>
              </w:numPr>
              <w:pBdr>
                <w:top w:val="nil"/>
                <w:left w:val="nil"/>
                <w:bottom w:val="nil"/>
                <w:right w:val="nil"/>
                <w:between w:val="nil"/>
              </w:pBdr>
              <w:rPr>
                <w:color w:val="0000FF"/>
                <w:u w:val="single"/>
              </w:rPr>
            </w:pPr>
            <w:r>
              <w:rPr>
                <w:color w:val="000000"/>
              </w:rPr>
              <w:t xml:space="preserve">Guidance </w:t>
            </w:r>
            <w:proofErr w:type="gramStart"/>
            <w:r>
              <w:rPr>
                <w:color w:val="000000"/>
              </w:rPr>
              <w:t>note</w:t>
            </w:r>
            <w:proofErr w:type="gramEnd"/>
            <w:r>
              <w:rPr>
                <w:color w:val="000000"/>
              </w:rPr>
              <w:t xml:space="preserve">: </w:t>
            </w:r>
            <w:hyperlink r:id="rId9">
              <w:r>
                <w:rPr>
                  <w:color w:val="0000FF"/>
                  <w:u w:val="single"/>
                </w:rPr>
                <w:t>Contract and license allocations</w:t>
              </w:r>
            </w:hyperlink>
          </w:p>
          <w:p w14:paraId="462564F4" w14:textId="77777777" w:rsidR="00BB62F4" w:rsidRDefault="00BB62F4">
            <w:pPr>
              <w:rPr>
                <w:color w:val="0000FF"/>
                <w:u w:val="single"/>
              </w:rPr>
            </w:pPr>
          </w:p>
        </w:tc>
      </w:tr>
    </w:tbl>
    <w:p w14:paraId="1974A396" w14:textId="77777777" w:rsidR="00BB62F4" w:rsidRDefault="00000000">
      <w:pPr>
        <w:pStyle w:val="Heading2"/>
        <w:numPr>
          <w:ilvl w:val="0"/>
          <w:numId w:val="42"/>
        </w:numPr>
      </w:pPr>
      <w:bookmarkStart w:id="4" w:name="_heading=h.8g4k1fmzqarl" w:colFirst="0" w:colLast="0"/>
      <w:bookmarkEnd w:id="4"/>
      <w:r>
        <w:t xml:space="preserve">Corrective actions / recommendations from previous Validation </w:t>
      </w:r>
    </w:p>
    <w:p w14:paraId="2AB46F29" w14:textId="77777777" w:rsidR="00BB62F4" w:rsidRDefault="00000000">
      <w:pPr>
        <w:pBdr>
          <w:top w:val="nil"/>
          <w:left w:val="nil"/>
          <w:bottom w:val="nil"/>
          <w:right w:val="nil"/>
          <w:between w:val="nil"/>
        </w:pBdr>
        <w:spacing w:before="0" w:after="0" w:line="276" w:lineRule="auto"/>
        <w:rPr>
          <w:color w:val="595959"/>
        </w:rPr>
      </w:pPr>
      <w:r>
        <w:rPr>
          <w:rFonts w:ascii="MS Gothic" w:eastAsia="MS Gothic" w:hAnsi="MS Gothic" w:cs="MS Gothic"/>
          <w:color w:val="595959"/>
        </w:rPr>
        <w:t>ⓘ</w:t>
      </w:r>
      <w:r>
        <w:rPr>
          <w:color w:val="595959"/>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14:paraId="67193E2D" w14:textId="77777777" w:rsidR="00BB62F4" w:rsidRDefault="00BB62F4">
      <w:pPr>
        <w:pBdr>
          <w:top w:val="nil"/>
          <w:left w:val="nil"/>
          <w:bottom w:val="nil"/>
          <w:right w:val="nil"/>
          <w:between w:val="nil"/>
        </w:pBdr>
        <w:spacing w:before="0" w:after="0" w:line="276" w:lineRule="auto"/>
        <w:rPr>
          <w:color w:val="595959"/>
        </w:rPr>
      </w:pP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40EB2DA4" w14:textId="77777777">
        <w:tc>
          <w:tcPr>
            <w:tcW w:w="9062" w:type="dxa"/>
            <w:tcBorders>
              <w:top w:val="nil"/>
              <w:left w:val="nil"/>
              <w:bottom w:val="nil"/>
              <w:right w:val="nil"/>
            </w:tcBorders>
            <w:shd w:val="clear" w:color="auto" w:fill="F2F2F2"/>
          </w:tcPr>
          <w:p w14:paraId="4E732CB9" w14:textId="77777777" w:rsidR="00BB62F4" w:rsidRDefault="00000000">
            <w:r>
              <w:t>Insert recommendation and or corrective action from previous Validation or targeted assessment, if applicable. Indicate the status of addressing the corrective actions, if applicable. If this is a first Validation, this section can be left blank.</w:t>
            </w:r>
          </w:p>
          <w:p w14:paraId="33879005" w14:textId="77777777" w:rsidR="00BB62F4" w:rsidRDefault="00000000">
            <w:pPr>
              <w:rPr>
                <w:b/>
                <w:bCs/>
              </w:rPr>
            </w:pPr>
            <w:r>
              <w:rPr>
                <w:b/>
                <w:bCs/>
              </w:rPr>
              <w:t>Requirement 2.2: Corrective Action</w:t>
            </w:r>
          </w:p>
          <w:p w14:paraId="72ACEF59" w14:textId="77777777"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sz w:val="24"/>
                <w:szCs w:val="24"/>
              </w:rPr>
              <w:t>The EITI Secretariat’s assessment is that the objective is not yet fulfilled given limited public availability and accessibility of the statutory licensing procedures, particularly related to the transfer of participating interests in oil and gas blocks, combined with the lack of NEITI diagnostic of the actual licensing practices as part of its EITI reporting</w:t>
            </w:r>
          </w:p>
          <w:p w14:paraId="6F6719DF" w14:textId="77777777"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sz w:val="24"/>
                <w:szCs w:val="24"/>
              </w:rPr>
              <w:t>Nigeria should ensure that information on oil and gas license transfers is publicly disclosed, including the identity of licenses transferred and the process for transferring licenses, and the technical and financial criteria assessed. </w:t>
            </w:r>
          </w:p>
          <w:p w14:paraId="6158799E" w14:textId="77777777"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sz w:val="24"/>
                <w:szCs w:val="24"/>
              </w:rPr>
              <w:t>In accordance with Requirement 2.2.a.iv, Nigeria is required to ensure public disclosure of its assessment of any material deviations from the applicable legal and regulatory framework governing license transfers and awards in license awards and transfers in the period under review by EITI reporting. </w:t>
            </w:r>
          </w:p>
          <w:p w14:paraId="1A3E9B1C" w14:textId="77777777" w:rsidR="00BB62F4" w:rsidRDefault="00000000">
            <w:pPr>
              <w:rPr>
                <w:rFonts w:ascii="Times New Roman" w:eastAsia="Times New Roman" w:hAnsi="Times New Roman" w:cs="Times New Roman"/>
                <w:b/>
                <w:bCs/>
                <w:sz w:val="24"/>
                <w:szCs w:val="24"/>
              </w:rPr>
            </w:pPr>
            <w:r>
              <w:rPr>
                <w:rFonts w:ascii="EB Garamond" w:eastAsia="EB Garamond" w:hAnsi="EB Garamond" w:cs="EB Garamond"/>
                <w:color w:val="000000"/>
                <w:sz w:val="24"/>
                <w:szCs w:val="24"/>
              </w:rPr>
              <w:t>To strengthen implementation, Nigeria could use the EITI to strengthen NUPRC’s systematic disclosures of licensing information, including retention of historical data.</w:t>
            </w:r>
          </w:p>
          <w:p w14:paraId="6ED14C8C" w14:textId="77777777" w:rsidR="00BB62F4" w:rsidRDefault="00000000">
            <w:pPr>
              <w:jc w:val="both"/>
              <w:rPr>
                <w:rFonts w:ascii="Times New Roman" w:eastAsia="Times New Roman" w:hAnsi="Times New Roman" w:cs="Times New Roman"/>
                <w:b/>
                <w:bCs/>
                <w:sz w:val="24"/>
                <w:szCs w:val="24"/>
              </w:rPr>
            </w:pPr>
            <w:r>
              <w:rPr>
                <w:rFonts w:ascii="EB Garamond" w:eastAsia="EB Garamond" w:hAnsi="EB Garamond" w:cs="EB Garamond"/>
                <w:b/>
                <w:bCs/>
                <w:sz w:val="24"/>
                <w:szCs w:val="24"/>
              </w:rPr>
              <w:t xml:space="preserve">Current </w:t>
            </w:r>
            <w:r>
              <w:rPr>
                <w:rFonts w:ascii="EB Garamond" w:eastAsia="EB Garamond" w:hAnsi="EB Garamond" w:cs="EB Garamond"/>
                <w:b/>
                <w:bCs/>
                <w:color w:val="000000"/>
                <w:sz w:val="24"/>
                <w:szCs w:val="24"/>
              </w:rPr>
              <w:t>Status:</w:t>
            </w:r>
          </w:p>
          <w:p w14:paraId="6E728CB8" w14:textId="77777777" w:rsidR="00BB62F4" w:rsidRDefault="00000000">
            <w:pPr>
              <w:jc w:val="both"/>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The NSWG has </w:t>
            </w:r>
            <w:proofErr w:type="gramStart"/>
            <w:r>
              <w:rPr>
                <w:rFonts w:ascii="EB Garamond" w:eastAsia="EB Garamond" w:hAnsi="EB Garamond" w:cs="EB Garamond"/>
                <w:color w:val="000000"/>
                <w:sz w:val="24"/>
                <w:szCs w:val="24"/>
              </w:rPr>
              <w:t>engaged  the</w:t>
            </w:r>
            <w:proofErr w:type="gramEnd"/>
            <w:r>
              <w:rPr>
                <w:rFonts w:ascii="EB Garamond" w:eastAsia="EB Garamond" w:hAnsi="EB Garamond" w:cs="EB Garamond"/>
                <w:color w:val="000000"/>
                <w:sz w:val="24"/>
                <w:szCs w:val="24"/>
              </w:rPr>
              <w:t xml:space="preserve"> NUPRC regarding the licensing award process, as mandated by the relevant provisions of the Petroleum Industry Act (PIA) 2021 and in </w:t>
            </w:r>
            <w:proofErr w:type="spellStart"/>
            <w:r>
              <w:rPr>
                <w:rFonts w:ascii="EB Garamond" w:eastAsia="EB Garamond" w:hAnsi="EB Garamond" w:cs="EB Garamond"/>
                <w:color w:val="000000"/>
                <w:sz w:val="24"/>
                <w:szCs w:val="24"/>
              </w:rPr>
              <w:t>fulfillment</w:t>
            </w:r>
            <w:proofErr w:type="spellEnd"/>
            <w:r>
              <w:rPr>
                <w:rFonts w:ascii="EB Garamond" w:eastAsia="EB Garamond" w:hAnsi="EB Garamond" w:cs="EB Garamond"/>
                <w:color w:val="000000"/>
                <w:sz w:val="24"/>
                <w:szCs w:val="24"/>
              </w:rPr>
              <w:t xml:space="preserve"> of the requirement of the EITI Standard. To this effect, the NSWG has monitored and published the NEITI 2024 Combined Bid Round Monitoring Report available here:</w:t>
            </w:r>
          </w:p>
          <w:p w14:paraId="3B8D6468" w14:textId="77777777" w:rsidR="00BB62F4" w:rsidRDefault="00BB62F4">
            <w:pPr>
              <w:jc w:val="both"/>
              <w:rPr>
                <w:rFonts w:ascii="EB Garamond" w:eastAsia="EB Garamond" w:hAnsi="EB Garamond" w:cs="EB Garamond"/>
                <w:sz w:val="24"/>
                <w:szCs w:val="24"/>
              </w:rPr>
            </w:pPr>
          </w:p>
          <w:p w14:paraId="1C2BF4F8" w14:textId="77B878E6" w:rsidR="0094427B" w:rsidRDefault="0094427B">
            <w:pPr>
              <w:jc w:val="both"/>
              <w:rPr>
                <w:rFonts w:ascii="EB Garamond" w:eastAsia="EB Garamond" w:hAnsi="EB Garamond" w:cs="EB Garamond"/>
                <w:color w:val="000000"/>
                <w:sz w:val="24"/>
                <w:szCs w:val="24"/>
              </w:rPr>
            </w:pPr>
            <w:hyperlink r:id="rId10" w:history="1">
              <w:r w:rsidRPr="00C15E82">
                <w:rPr>
                  <w:rStyle w:val="Hyperlink"/>
                  <w:rFonts w:ascii="EB Garamond" w:eastAsia="EB Garamond" w:hAnsi="EB Garamond" w:cs="EB Garamond"/>
                  <w:sz w:val="24"/>
                  <w:szCs w:val="24"/>
                </w:rPr>
                <w:t>https://neiti.gov.ng/VALIDATION/2026/TRANSPARENCY/LICENSING,%20LEASING%20AND%20CONTRACTS%20IN%20THE%20JDZ.docx</w:t>
              </w:r>
            </w:hyperlink>
            <w:r>
              <w:rPr>
                <w:rFonts w:ascii="EB Garamond" w:eastAsia="EB Garamond" w:hAnsi="EB Garamond" w:cs="EB Garamond"/>
                <w:color w:val="000000"/>
                <w:sz w:val="24"/>
                <w:szCs w:val="24"/>
              </w:rPr>
              <w:t xml:space="preserve"> </w:t>
            </w:r>
          </w:p>
          <w:p w14:paraId="3A51C379" w14:textId="1B5B6485"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sz w:val="24"/>
                <w:szCs w:val="24"/>
              </w:rPr>
              <w:t>The NSWG is also currently monitoring the 2025 Licensing Round exercise, with a report to be published at its conclusion.</w:t>
            </w:r>
          </w:p>
          <w:p w14:paraId="6DC4BCB1" w14:textId="0CAB9977"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sz w:val="24"/>
                <w:szCs w:val="24"/>
              </w:rPr>
              <w:t>For license transfers and revocation, the NWSG is engaging the NUPRC via bi-lateral meetings to ensure the systematic disclosure of the process of license transfer</w:t>
            </w:r>
            <w:r>
              <w:rPr>
                <w:rFonts w:ascii="Times New Roman" w:eastAsia="Times New Roman" w:hAnsi="Times New Roman" w:cs="Times New Roman"/>
                <w:sz w:val="24"/>
                <w:szCs w:val="24"/>
              </w:rPr>
              <w:t>, this is in addition to</w:t>
            </w:r>
            <w:r>
              <w:rPr>
                <w:rFonts w:ascii="EB Garamond" w:eastAsia="EB Garamond" w:hAnsi="EB Garamond" w:cs="EB Garamond"/>
                <w:color w:val="000000"/>
                <w:sz w:val="24"/>
                <w:szCs w:val="24"/>
              </w:rPr>
              <w:t xml:space="preserve"> what is reported through EITI reporting, including the technical and financial criteria assessed before the transfers</w:t>
            </w:r>
            <w:r>
              <w:rPr>
                <w:rFonts w:ascii="EB Garamond" w:eastAsia="EB Garamond" w:hAnsi="EB Garamond" w:cs="EB Garamond"/>
                <w:sz w:val="24"/>
                <w:szCs w:val="24"/>
              </w:rPr>
              <w:t xml:space="preserve"> are </w:t>
            </w:r>
            <w:proofErr w:type="gramStart"/>
            <w:r>
              <w:rPr>
                <w:rFonts w:ascii="EB Garamond" w:eastAsia="EB Garamond" w:hAnsi="EB Garamond" w:cs="EB Garamond"/>
                <w:sz w:val="24"/>
                <w:szCs w:val="24"/>
              </w:rPr>
              <w:t>effected</w:t>
            </w:r>
            <w:proofErr w:type="gramEnd"/>
            <w:r>
              <w:rPr>
                <w:rFonts w:ascii="EB Garamond" w:eastAsia="EB Garamond" w:hAnsi="EB Garamond" w:cs="EB Garamond"/>
                <w:sz w:val="24"/>
                <w:szCs w:val="24"/>
              </w:rPr>
              <w:t>.</w:t>
            </w:r>
          </w:p>
          <w:p w14:paraId="2F87B3EF" w14:textId="77777777" w:rsidR="00BB62F4" w:rsidRDefault="00BB62F4">
            <w:pPr>
              <w:jc w:val="both"/>
              <w:rPr>
                <w:rFonts w:ascii="Times New Roman" w:eastAsia="Times New Roman" w:hAnsi="Times New Roman" w:cs="Times New Roman"/>
                <w:sz w:val="24"/>
                <w:szCs w:val="24"/>
              </w:rPr>
            </w:pPr>
          </w:p>
          <w:p w14:paraId="040EA561" w14:textId="77777777" w:rsidR="00BB62F4" w:rsidRDefault="00BB62F4">
            <w:pPr>
              <w:jc w:val="both"/>
            </w:pPr>
          </w:p>
        </w:tc>
      </w:tr>
    </w:tbl>
    <w:p w14:paraId="1942B749" w14:textId="77777777" w:rsidR="00BB62F4" w:rsidRDefault="00000000">
      <w:pPr>
        <w:pStyle w:val="Heading2"/>
        <w:numPr>
          <w:ilvl w:val="0"/>
          <w:numId w:val="42"/>
        </w:numPr>
      </w:pPr>
      <w:bookmarkStart w:id="5" w:name="_heading=h.5nrynik9pa49" w:colFirst="0" w:colLast="0"/>
      <w:bookmarkEnd w:id="5"/>
      <w:r>
        <w:lastRenderedPageBreak/>
        <w:t>Self-assessment</w:t>
      </w:r>
    </w:p>
    <w:p w14:paraId="2F7E22AB" w14:textId="77777777" w:rsidR="00BB62F4" w:rsidRDefault="00000000">
      <w:pPr>
        <w:pBdr>
          <w:top w:val="nil"/>
          <w:left w:val="nil"/>
          <w:bottom w:val="nil"/>
          <w:right w:val="nil"/>
          <w:between w:val="nil"/>
        </w:pBdr>
        <w:spacing w:before="0" w:after="0" w:line="276" w:lineRule="auto"/>
        <w:rPr>
          <w:color w:val="595959"/>
        </w:rPr>
      </w:pPr>
      <w:r>
        <w:rPr>
          <w:rFonts w:ascii="MS Mincho" w:eastAsia="MS Mincho" w:hAnsi="MS Mincho" w:cs="MS Mincho"/>
          <w:color w:val="595959"/>
        </w:rPr>
        <w:t>ⓘ</w:t>
      </w:r>
      <w:r>
        <w:rPr>
          <w:color w:val="595959"/>
        </w:rPr>
        <w:t xml:space="preserve"> The self-assessment allows the MSG to understand the aspects of the requirement and estimate its progress towards meeting it. Diverging views within the constituency or between constituencies can be documented in the form. </w:t>
      </w:r>
    </w:p>
    <w:p w14:paraId="1504C7F9" w14:textId="77777777" w:rsidR="00BB62F4" w:rsidRDefault="00BB62F4">
      <w:pPr>
        <w:pBdr>
          <w:top w:val="nil"/>
          <w:left w:val="nil"/>
          <w:bottom w:val="nil"/>
          <w:right w:val="nil"/>
          <w:between w:val="nil"/>
        </w:pBdr>
        <w:spacing w:before="0" w:after="0" w:line="276" w:lineRule="auto"/>
        <w:rPr>
          <w:i/>
          <w:iCs/>
          <w:color w:val="595959"/>
          <w:sz w:val="18"/>
          <w:szCs w:val="18"/>
        </w:rPr>
      </w:pPr>
    </w:p>
    <w:p w14:paraId="73786ABA" w14:textId="77777777" w:rsidR="00BB62F4" w:rsidRDefault="00000000">
      <w:pPr>
        <w:pStyle w:val="Heading3"/>
      </w:pPr>
      <w:bookmarkStart w:id="6" w:name="_heading=h.ceyfom1ili73" w:colFirst="0" w:colLast="0"/>
      <w:bookmarkEnd w:id="6"/>
      <w:r>
        <w:t xml:space="preserve">Holders of information  </w:t>
      </w:r>
    </w:p>
    <w:p w14:paraId="6DA36884" w14:textId="77777777" w:rsidR="00BB62F4" w:rsidRDefault="00000000">
      <w:pPr>
        <w:rPr>
          <w:color w:val="7F7F7F"/>
        </w:rPr>
      </w:pPr>
      <w:r>
        <w:rPr>
          <w:rFonts w:ascii="MS Gothic" w:eastAsia="MS Gothic" w:hAnsi="MS Gothic" w:cs="MS Gothic"/>
          <w:color w:val="7F7F7F"/>
        </w:rPr>
        <w:t>ⓘ</w:t>
      </w:r>
      <w:r>
        <w:rPr>
          <w:color w:val="7F7F7F"/>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14:paraId="30ED6F0A" w14:textId="77777777" w:rsidR="00BB62F4" w:rsidRDefault="00BB62F4">
      <w:pPr>
        <w:pBdr>
          <w:top w:val="nil"/>
          <w:left w:val="nil"/>
          <w:bottom w:val="nil"/>
          <w:right w:val="nil"/>
          <w:between w:val="nil"/>
        </w:pBdr>
        <w:spacing w:before="0" w:after="0" w:line="276" w:lineRule="auto"/>
        <w:rPr>
          <w:color w:val="595959"/>
        </w:rPr>
      </w:pPr>
    </w:p>
    <w:tbl>
      <w:tblPr>
        <w:tblStyle w:val="a1"/>
        <w:tblW w:w="9072" w:type="dxa"/>
        <w:tblInd w:w="0" w:type="dxa"/>
        <w:tblLayout w:type="fixed"/>
        <w:tblLook w:val="0400" w:firstRow="0" w:lastRow="0" w:firstColumn="0" w:lastColumn="0" w:noHBand="0" w:noVBand="1"/>
      </w:tblPr>
      <w:tblGrid>
        <w:gridCol w:w="1424"/>
        <w:gridCol w:w="4104"/>
        <w:gridCol w:w="3544"/>
      </w:tblGrid>
      <w:tr w:rsidR="00BB62F4" w14:paraId="11DF8E77" w14:textId="77777777">
        <w:trPr>
          <w:trHeight w:val="476"/>
        </w:trPr>
        <w:tc>
          <w:tcPr>
            <w:tcW w:w="1424" w:type="dxa"/>
            <w:tcBorders>
              <w:bottom w:val="single" w:sz="4" w:space="0" w:color="000000"/>
            </w:tcBorders>
            <w:shd w:val="clear" w:color="auto" w:fill="B4C6E7"/>
          </w:tcPr>
          <w:p w14:paraId="1FC99971" w14:textId="77777777" w:rsidR="00BB62F4" w:rsidRDefault="00BB62F4">
            <w:pPr>
              <w:rPr>
                <w:b/>
                <w:bCs/>
              </w:rPr>
            </w:pPr>
          </w:p>
        </w:tc>
        <w:tc>
          <w:tcPr>
            <w:tcW w:w="4104" w:type="dxa"/>
            <w:tcBorders>
              <w:bottom w:val="single" w:sz="4" w:space="0" w:color="000000"/>
            </w:tcBorders>
            <w:shd w:val="clear" w:color="auto" w:fill="B4C6E7"/>
          </w:tcPr>
          <w:p w14:paraId="1410507B" w14:textId="77777777" w:rsidR="00BB62F4" w:rsidRDefault="00000000">
            <w:pPr>
              <w:rPr>
                <w:b/>
                <w:bCs/>
              </w:rPr>
            </w:pPr>
            <w:r>
              <w:rPr>
                <w:b/>
                <w:bCs/>
              </w:rPr>
              <w:t>Question</w:t>
            </w:r>
          </w:p>
        </w:tc>
        <w:tc>
          <w:tcPr>
            <w:tcW w:w="3544" w:type="dxa"/>
            <w:tcBorders>
              <w:bottom w:val="single" w:sz="4" w:space="0" w:color="000000"/>
            </w:tcBorders>
            <w:shd w:val="clear" w:color="auto" w:fill="B4C6E7"/>
          </w:tcPr>
          <w:p w14:paraId="50EC3CA6" w14:textId="77777777" w:rsidR="00BB62F4" w:rsidRDefault="00000000">
            <w:pPr>
              <w:rPr>
                <w:b/>
                <w:bCs/>
              </w:rPr>
            </w:pPr>
            <w:r>
              <w:rPr>
                <w:b/>
                <w:bCs/>
              </w:rPr>
              <w:t>Response</w:t>
            </w:r>
          </w:p>
        </w:tc>
      </w:tr>
      <w:tr w:rsidR="00BB62F4" w14:paraId="488D7583" w14:textId="77777777">
        <w:trPr>
          <w:trHeight w:val="1515"/>
        </w:trPr>
        <w:tc>
          <w:tcPr>
            <w:tcW w:w="1424" w:type="dxa"/>
            <w:tcBorders>
              <w:top w:val="single" w:sz="4" w:space="0" w:color="000000"/>
              <w:bottom w:val="single" w:sz="4" w:space="0" w:color="000000"/>
            </w:tcBorders>
          </w:tcPr>
          <w:p w14:paraId="48691CC2" w14:textId="77777777" w:rsidR="00BB62F4" w:rsidRDefault="00000000">
            <w:pPr>
              <w:rPr>
                <w:b/>
                <w:bCs/>
              </w:rPr>
            </w:pPr>
            <w:r>
              <w:rPr>
                <w:b/>
                <w:bCs/>
              </w:rPr>
              <w:t xml:space="preserve">Overview of awards and transfers 2.2.a </w:t>
            </w:r>
          </w:p>
        </w:tc>
        <w:tc>
          <w:tcPr>
            <w:tcW w:w="4104" w:type="dxa"/>
            <w:tcBorders>
              <w:top w:val="single" w:sz="4" w:space="0" w:color="000000"/>
              <w:bottom w:val="single" w:sz="4" w:space="0" w:color="000000"/>
            </w:tcBorders>
          </w:tcPr>
          <w:p w14:paraId="03811ACB" w14:textId="77777777" w:rsidR="00BB62F4" w:rsidRDefault="00000000">
            <w:r>
              <w:t xml:space="preserve">Which </w:t>
            </w:r>
            <w:r>
              <w:rPr>
                <w:b/>
                <w:bCs/>
              </w:rPr>
              <w:t>government entity(</w:t>
            </w:r>
            <w:proofErr w:type="spellStart"/>
            <w:r>
              <w:rPr>
                <w:b/>
                <w:bCs/>
              </w:rPr>
              <w:t>ies</w:t>
            </w:r>
            <w:proofErr w:type="spellEnd"/>
            <w:r>
              <w:rPr>
                <w:b/>
                <w:bCs/>
              </w:rPr>
              <w:t>)</w:t>
            </w:r>
            <w:r>
              <w:t xml:space="preserve"> is responsible for managing licenses </w:t>
            </w:r>
            <w:r>
              <w:rPr>
                <w:highlight w:val="yellow"/>
              </w:rPr>
              <w:t>of the</w:t>
            </w:r>
            <w:r>
              <w:t xml:space="preserve"> Oil and gas sector and holds information on the process for license awards and transfers, </w:t>
            </w:r>
            <w:r>
              <w:rPr>
                <w:highlight w:val="yellow"/>
              </w:rPr>
              <w:t>including the technical and financial criteria and requirements related to free, prior and informed consent?</w:t>
            </w:r>
            <w:r>
              <w:t xml:space="preserve"> </w:t>
            </w:r>
          </w:p>
          <w:p w14:paraId="0AED88D5" w14:textId="77777777" w:rsidR="00BB62F4" w:rsidRDefault="00BB62F4"/>
        </w:tc>
        <w:tc>
          <w:tcPr>
            <w:tcW w:w="3544" w:type="dxa"/>
            <w:tcBorders>
              <w:top w:val="single" w:sz="4" w:space="0" w:color="000000"/>
              <w:bottom w:val="single" w:sz="4" w:space="0" w:color="000000"/>
            </w:tcBorders>
          </w:tcPr>
          <w:p w14:paraId="55A717DD" w14:textId="77777777" w:rsidR="00BB62F4" w:rsidRDefault="00000000">
            <w:r>
              <w:rPr>
                <w:shd w:val="clear" w:color="auto" w:fill="D9E2F3"/>
              </w:rPr>
              <w:t xml:space="preserve">Holder(s) of information: </w:t>
            </w:r>
            <w:r>
              <w:rPr>
                <w:i/>
                <w:iCs/>
                <w:shd w:val="clear" w:color="auto" w:fill="D9E2F3"/>
              </w:rPr>
              <w:t>please specify</w:t>
            </w:r>
            <w:r>
              <w:t>:</w:t>
            </w:r>
          </w:p>
          <w:p w14:paraId="064B53E1" w14:textId="77777777" w:rsidR="00BB62F4" w:rsidRDefault="00000000">
            <w:pPr>
              <w:jc w:val="both"/>
              <w:rPr>
                <w:shd w:val="clear" w:color="auto" w:fill="D9E2F3"/>
              </w:rPr>
            </w:pPr>
            <w:r>
              <w:rPr>
                <w:shd w:val="clear" w:color="auto" w:fill="D9E2F3"/>
              </w:rPr>
              <w:t>(1) The Petroleum Industry Act (</w:t>
            </w:r>
            <w:hyperlink r:id="rId11">
              <w:r>
                <w:rPr>
                  <w:color w:val="0000FF"/>
                  <w:u w:val="single"/>
                  <w:shd w:val="clear" w:color="auto" w:fill="D9E2F3"/>
                </w:rPr>
                <w:t>PIA-2021</w:t>
              </w:r>
            </w:hyperlink>
            <w:r>
              <w:rPr>
                <w:shd w:val="clear" w:color="auto" w:fill="D9E2F3"/>
              </w:rPr>
              <w:t xml:space="preserve">) empowers </w:t>
            </w:r>
            <w:hyperlink r:id="rId12">
              <w:r>
                <w:rPr>
                  <w:color w:val="0000FF"/>
                  <w:u w:val="single"/>
                  <w:shd w:val="clear" w:color="auto" w:fill="D9E2F3"/>
                </w:rPr>
                <w:t>NMDPRA</w:t>
              </w:r>
            </w:hyperlink>
            <w:r>
              <w:rPr>
                <w:shd w:val="clear" w:color="auto" w:fill="D9E2F3"/>
              </w:rPr>
              <w:t xml:space="preserve"> (“The Authority”) to issue licenses and permits for Midstream and Downstream, and the </w:t>
            </w:r>
            <w:hyperlink r:id="rId13">
              <w:r>
                <w:rPr>
                  <w:color w:val="0000FF"/>
                  <w:u w:val="single"/>
                  <w:shd w:val="clear" w:color="auto" w:fill="D9E2F3"/>
                </w:rPr>
                <w:t>NUPRC</w:t>
              </w:r>
            </w:hyperlink>
            <w:r>
              <w:rPr>
                <w:shd w:val="clear" w:color="auto" w:fill="D9E2F3"/>
              </w:rPr>
              <w:t xml:space="preserve"> as (“The Commission”) pursuant to its power under the PIA 2021 issued the assignment or transfer of license an permit regulations    (The regulations) effective from 23 February 2023. The regulations were issued pursuant to section 117(</w:t>
            </w:r>
            <w:proofErr w:type="spellStart"/>
            <w:r>
              <w:rPr>
                <w:shd w:val="clear" w:color="auto" w:fill="D9E2F3"/>
              </w:rPr>
              <w:t>i</w:t>
            </w:r>
            <w:proofErr w:type="spellEnd"/>
            <w:r>
              <w:rPr>
                <w:shd w:val="clear" w:color="auto" w:fill="D9E2F3"/>
              </w:rPr>
              <w:t>) of the PIA 2021 for upstream.</w:t>
            </w:r>
          </w:p>
          <w:p w14:paraId="12DD8302" w14:textId="77777777" w:rsidR="00BB62F4" w:rsidRDefault="00000000">
            <w:pPr>
              <w:jc w:val="both"/>
              <w:rPr>
                <w:rFonts w:ascii="EB Garamond Medium" w:eastAsia="EB Garamond Medium" w:hAnsi="EB Garamond Medium" w:cs="EB Garamond Medium"/>
                <w:shd w:val="clear" w:color="auto" w:fill="EDF1F9"/>
              </w:rPr>
            </w:pPr>
            <w:r>
              <w:rPr>
                <w:rFonts w:ascii="EB Garamond Medium" w:eastAsia="EB Garamond Medium" w:hAnsi="EB Garamond Medium" w:cs="EB Garamond Medium"/>
                <w:shd w:val="clear" w:color="auto" w:fill="EDF1F9"/>
              </w:rPr>
              <w:t xml:space="preserve">The Technical and Financial Criteria for License award in the upstream is domiciled with the NUPRC. That of the Mid and downstream </w:t>
            </w:r>
            <w:proofErr w:type="gramStart"/>
            <w:r>
              <w:rPr>
                <w:rFonts w:ascii="EB Garamond Medium" w:eastAsia="EB Garamond Medium" w:hAnsi="EB Garamond Medium" w:cs="EB Garamond Medium"/>
                <w:shd w:val="clear" w:color="auto" w:fill="EDF1F9"/>
              </w:rPr>
              <w:t>is  domiciled</w:t>
            </w:r>
            <w:proofErr w:type="gramEnd"/>
            <w:r>
              <w:rPr>
                <w:rFonts w:ascii="EB Garamond Medium" w:eastAsia="EB Garamond Medium" w:hAnsi="EB Garamond Medium" w:cs="EB Garamond Medium"/>
                <w:shd w:val="clear" w:color="auto" w:fill="EDF1F9"/>
              </w:rPr>
              <w:t xml:space="preserve"> with the NMDPRA. </w:t>
            </w:r>
          </w:p>
          <w:p w14:paraId="56F793E8" w14:textId="77777777" w:rsidR="00BB62F4" w:rsidRDefault="00000000">
            <w:pPr>
              <w:jc w:val="both"/>
              <w:rPr>
                <w:shd w:val="clear" w:color="auto" w:fill="D9E2F3"/>
              </w:rPr>
            </w:pPr>
            <w:r>
              <w:rPr>
                <w:rFonts w:ascii="EB Garamond Medium" w:eastAsia="EB Garamond Medium" w:hAnsi="EB Garamond Medium" w:cs="EB Garamond Medium"/>
                <w:shd w:val="clear" w:color="auto" w:fill="EDF1F9"/>
              </w:rPr>
              <w:lastRenderedPageBreak/>
              <w:t>The PIA does not provide conditions or requirements for free, prior and informed consent for license award or transfer.</w:t>
            </w:r>
          </w:p>
          <w:p w14:paraId="72F1FD40" w14:textId="77777777" w:rsidR="00BB62F4" w:rsidRDefault="00BB62F4">
            <w:pPr>
              <w:rPr>
                <w:shd w:val="clear" w:color="auto" w:fill="D9E2F3"/>
              </w:rPr>
            </w:pPr>
          </w:p>
        </w:tc>
      </w:tr>
      <w:tr w:rsidR="00BB62F4" w14:paraId="55B87A1C" w14:textId="77777777">
        <w:trPr>
          <w:trHeight w:val="1515"/>
        </w:trPr>
        <w:tc>
          <w:tcPr>
            <w:tcW w:w="1424" w:type="dxa"/>
            <w:tcBorders>
              <w:top w:val="single" w:sz="4" w:space="0" w:color="000000"/>
              <w:bottom w:val="single" w:sz="4" w:space="0" w:color="000000"/>
            </w:tcBorders>
          </w:tcPr>
          <w:p w14:paraId="75E206C4" w14:textId="77777777" w:rsidR="00BB62F4" w:rsidRDefault="00000000">
            <w:pPr>
              <w:rPr>
                <w:b/>
                <w:bCs/>
              </w:rPr>
            </w:pPr>
            <w:r>
              <w:rPr>
                <w:b/>
                <w:bCs/>
              </w:rPr>
              <w:lastRenderedPageBreak/>
              <w:t>Recipients of awards and transfers 2.2.a.iii, 2.</w:t>
            </w:r>
            <w:proofErr w:type="gramStart"/>
            <w:r>
              <w:rPr>
                <w:b/>
                <w:bCs/>
              </w:rPr>
              <w:t>2.b</w:t>
            </w:r>
            <w:proofErr w:type="gramEnd"/>
          </w:p>
        </w:tc>
        <w:tc>
          <w:tcPr>
            <w:tcW w:w="4104" w:type="dxa"/>
            <w:tcBorders>
              <w:top w:val="single" w:sz="4" w:space="0" w:color="000000"/>
              <w:bottom w:val="single" w:sz="4" w:space="0" w:color="000000"/>
            </w:tcBorders>
          </w:tcPr>
          <w:p w14:paraId="7B2A87C8" w14:textId="77777777" w:rsidR="00BB62F4" w:rsidRDefault="00000000">
            <w:r>
              <w:t>Which government entity(</w:t>
            </w:r>
            <w:proofErr w:type="spellStart"/>
            <w:r>
              <w:t>ies</w:t>
            </w:r>
            <w:proofErr w:type="spellEnd"/>
            <w:r>
              <w:t xml:space="preserve">) holds the information on list of applicants (in case of bidding) </w:t>
            </w:r>
            <w:proofErr w:type="gramStart"/>
            <w:r>
              <w:t>and  license</w:t>
            </w:r>
            <w:proofErr w:type="gramEnd"/>
            <w:r>
              <w:t xml:space="preserve"> </w:t>
            </w:r>
            <w:proofErr w:type="gramStart"/>
            <w:r>
              <w:t>recipients ?</w:t>
            </w:r>
            <w:proofErr w:type="gramEnd"/>
          </w:p>
        </w:tc>
        <w:tc>
          <w:tcPr>
            <w:tcW w:w="3544" w:type="dxa"/>
            <w:tcBorders>
              <w:top w:val="single" w:sz="4" w:space="0" w:color="000000"/>
              <w:bottom w:val="single" w:sz="4" w:space="0" w:color="000000"/>
            </w:tcBorders>
          </w:tcPr>
          <w:p w14:paraId="29A80A27" w14:textId="77777777" w:rsidR="00BB62F4" w:rsidRDefault="00000000">
            <w:r>
              <w:rPr>
                <w:shd w:val="clear" w:color="auto" w:fill="D9E2F3"/>
              </w:rPr>
              <w:t xml:space="preserve">Holder(s) of information: </w:t>
            </w:r>
            <w:r>
              <w:rPr>
                <w:i/>
                <w:iCs/>
                <w:shd w:val="clear" w:color="auto" w:fill="D9E2F3"/>
              </w:rPr>
              <w:t>please specify</w:t>
            </w:r>
            <w:r>
              <w:t>:</w:t>
            </w:r>
          </w:p>
          <w:p w14:paraId="2E9A55CF" w14:textId="77777777" w:rsidR="00BB62F4" w:rsidRDefault="00000000">
            <w:pPr>
              <w:jc w:val="both"/>
              <w:rPr>
                <w:shd w:val="clear" w:color="auto" w:fill="D9E2F3"/>
              </w:rPr>
            </w:pPr>
            <w:hyperlink r:id="rId14">
              <w:r>
                <w:rPr>
                  <w:color w:val="0000FF"/>
                  <w:u w:val="single"/>
                  <w:shd w:val="clear" w:color="auto" w:fill="D9E2F3"/>
                </w:rPr>
                <w:t>Nigerian Upstream Petroleum Regulatory Commission (NUPRC)</w:t>
              </w:r>
            </w:hyperlink>
            <w:r>
              <w:rPr>
                <w:shd w:val="clear" w:color="auto" w:fill="D9E2F3"/>
              </w:rPr>
              <w:t xml:space="preserve"> is the primary government entity responsible for managing the list of bidders and license recipients for upstream oil and gas assets in Nigeria. The NUPRC (formerly the Department of Petroleum Resources-DPR) conducts bidding rounds, maintains records of licenses/leases, and ensures compliance. Other key entities holding this information include:</w:t>
            </w:r>
          </w:p>
          <w:p w14:paraId="71DA9F4B" w14:textId="77777777" w:rsidR="00BB62F4" w:rsidRDefault="00000000">
            <w:pPr>
              <w:numPr>
                <w:ilvl w:val="0"/>
                <w:numId w:val="13"/>
              </w:numPr>
              <w:pBdr>
                <w:top w:val="nil"/>
                <w:left w:val="nil"/>
                <w:bottom w:val="nil"/>
                <w:right w:val="nil"/>
                <w:between w:val="nil"/>
              </w:pBdr>
              <w:jc w:val="both"/>
              <w:rPr>
                <w:color w:val="000000"/>
                <w:shd w:val="clear" w:color="auto" w:fill="D9E2F3"/>
              </w:rPr>
            </w:pPr>
            <w:hyperlink r:id="rId15">
              <w:r>
                <w:rPr>
                  <w:rFonts w:ascii="Times New Roman" w:eastAsia="Times New Roman" w:hAnsi="Times New Roman" w:cs="Times New Roman"/>
                  <w:color w:val="1155CC"/>
                  <w:sz w:val="24"/>
                  <w:szCs w:val="24"/>
                  <w:u w:val="single"/>
                  <w:shd w:val="clear" w:color="auto" w:fill="D9E2F3"/>
                </w:rPr>
                <w:t>https://www.nuprc.gov.ng/</w:t>
              </w:r>
            </w:hyperlink>
            <w:r>
              <w:rPr>
                <w:rFonts w:ascii="Times New Roman" w:eastAsia="Times New Roman" w:hAnsi="Times New Roman" w:cs="Times New Roman"/>
                <w:sz w:val="24"/>
                <w:szCs w:val="24"/>
                <w:shd w:val="clear" w:color="auto" w:fill="D9E2F3"/>
              </w:rPr>
              <w:t xml:space="preserve"> </w:t>
            </w:r>
            <w:r>
              <w:rPr>
                <w:shd w:val="clear" w:color="auto" w:fill="D9E2F3"/>
              </w:rPr>
              <w:t xml:space="preserve">  </w:t>
            </w:r>
            <w:r>
              <w:rPr>
                <w:color w:val="000000"/>
                <w:shd w:val="clear" w:color="auto" w:fill="D9E2F3"/>
              </w:rPr>
              <w:t xml:space="preserve"> Manages the bidding portal, pre-qualification, and maintains records of all licenses and lease holders.</w:t>
            </w:r>
          </w:p>
          <w:p w14:paraId="6B1DE9D1" w14:textId="77777777" w:rsidR="00BB62F4" w:rsidRDefault="00000000">
            <w:pPr>
              <w:numPr>
                <w:ilvl w:val="0"/>
                <w:numId w:val="13"/>
              </w:numPr>
              <w:pBdr>
                <w:top w:val="nil"/>
                <w:left w:val="nil"/>
                <w:bottom w:val="nil"/>
                <w:right w:val="nil"/>
                <w:between w:val="nil"/>
              </w:pBdr>
              <w:jc w:val="both"/>
              <w:rPr>
                <w:color w:val="000000"/>
                <w:shd w:val="clear" w:color="auto" w:fill="D9E2F3"/>
              </w:rPr>
            </w:pPr>
            <w:hyperlink r:id="rId16">
              <w:r>
                <w:rPr>
                  <w:color w:val="1155CC"/>
                  <w:u w:val="single"/>
                  <w:shd w:val="clear" w:color="auto" w:fill="D9E2F3"/>
                </w:rPr>
                <w:t>https://www.nmdpra.gov.ng/</w:t>
              </w:r>
            </w:hyperlink>
            <w:r>
              <w:rPr>
                <w:shd w:val="clear" w:color="auto" w:fill="D9E2F3"/>
              </w:rPr>
              <w:t xml:space="preserve"> </w:t>
            </w:r>
            <w:r>
              <w:rPr>
                <w:color w:val="000000"/>
                <w:shd w:val="clear" w:color="auto" w:fill="D9E2F3"/>
              </w:rPr>
              <w:t xml:space="preserve"> Handles licensing for midstream and downstream activities.</w:t>
            </w:r>
          </w:p>
          <w:p w14:paraId="759FF494" w14:textId="77777777" w:rsidR="00BB62F4" w:rsidRDefault="00000000">
            <w:pPr>
              <w:numPr>
                <w:ilvl w:val="0"/>
                <w:numId w:val="13"/>
              </w:numPr>
              <w:pBdr>
                <w:top w:val="nil"/>
                <w:left w:val="nil"/>
                <w:bottom w:val="nil"/>
                <w:right w:val="nil"/>
                <w:between w:val="nil"/>
              </w:pBdr>
              <w:jc w:val="both"/>
              <w:rPr>
                <w:color w:val="000000"/>
                <w:shd w:val="clear" w:color="auto" w:fill="D9E2F3"/>
              </w:rPr>
            </w:pPr>
            <w:hyperlink r:id="rId17">
              <w:r>
                <w:rPr>
                  <w:color w:val="1155CC"/>
                  <w:u w:val="single"/>
                  <w:shd w:val="clear" w:color="auto" w:fill="D9E2F3"/>
                </w:rPr>
                <w:t>https://www.nmdpra.gov.ng/</w:t>
              </w:r>
            </w:hyperlink>
            <w:r>
              <w:rPr>
                <w:shd w:val="clear" w:color="auto" w:fill="D9E2F3"/>
              </w:rPr>
              <w:t xml:space="preserve"> </w:t>
            </w:r>
            <w:r>
              <w:rPr>
                <w:color w:val="000000"/>
                <w:shd w:val="clear" w:color="auto" w:fill="D9E2F3"/>
              </w:rPr>
              <w:t xml:space="preserve"> The minister of Petroleum gives final approval for license awards based on NUPRC recommendations.</w:t>
            </w:r>
          </w:p>
          <w:p w14:paraId="1476C323" w14:textId="77777777" w:rsidR="00BB62F4" w:rsidRDefault="00000000">
            <w:pPr>
              <w:numPr>
                <w:ilvl w:val="0"/>
                <w:numId w:val="13"/>
              </w:numPr>
              <w:pBdr>
                <w:top w:val="nil"/>
                <w:left w:val="nil"/>
                <w:bottom w:val="nil"/>
                <w:right w:val="nil"/>
                <w:between w:val="nil"/>
              </w:pBdr>
              <w:jc w:val="both"/>
              <w:rPr>
                <w:color w:val="000000"/>
                <w:shd w:val="clear" w:color="auto" w:fill="D9E2F3"/>
              </w:rPr>
            </w:pPr>
            <w:r>
              <w:rPr>
                <w:color w:val="000000"/>
                <w:shd w:val="clear" w:color="auto" w:fill="D9E2F3"/>
              </w:rPr>
              <w:t xml:space="preserve">NEITI </w:t>
            </w:r>
            <w:hyperlink r:id="rId18">
              <w:r>
                <w:rPr>
                  <w:rFonts w:ascii="EB Garamond" w:eastAsia="EB Garamond" w:hAnsi="EB Garamond" w:cs="EB Garamond"/>
                  <w:color w:val="1155CC"/>
                  <w:u w:val="single"/>
                  <w:shd w:val="clear" w:color="auto" w:fill="D9E2F3"/>
                </w:rPr>
                <w:t>Audits | NEITI</w:t>
              </w:r>
            </w:hyperlink>
            <w:r>
              <w:rPr>
                <w:color w:val="000000"/>
              </w:rPr>
              <w:t xml:space="preserve"> </w:t>
            </w:r>
            <w:r>
              <w:rPr>
                <w:color w:val="000000"/>
                <w:shd w:val="clear" w:color="auto" w:fill="D9E2F3"/>
              </w:rPr>
              <w:t>Publishes reports detailing license holders and payments in the industry.</w:t>
            </w:r>
          </w:p>
          <w:p w14:paraId="2B28C273" w14:textId="77777777" w:rsidR="00BB62F4" w:rsidRDefault="00BB62F4">
            <w:pPr>
              <w:rPr>
                <w:shd w:val="clear" w:color="auto" w:fill="D9E2F3"/>
              </w:rPr>
            </w:pPr>
          </w:p>
        </w:tc>
      </w:tr>
      <w:tr w:rsidR="00BB62F4" w14:paraId="2CB54B19" w14:textId="77777777">
        <w:trPr>
          <w:trHeight w:val="1236"/>
        </w:trPr>
        <w:tc>
          <w:tcPr>
            <w:tcW w:w="1424" w:type="dxa"/>
            <w:tcBorders>
              <w:top w:val="single" w:sz="4" w:space="0" w:color="000000"/>
              <w:bottom w:val="single" w:sz="4" w:space="0" w:color="000000"/>
            </w:tcBorders>
          </w:tcPr>
          <w:p w14:paraId="21317730" w14:textId="77777777" w:rsidR="00BB62F4" w:rsidRDefault="00000000">
            <w:pPr>
              <w:rPr>
                <w:b/>
                <w:bCs/>
              </w:rPr>
            </w:pPr>
            <w:r>
              <w:rPr>
                <w:b/>
                <w:bCs/>
              </w:rPr>
              <w:t>Deviations (2.2.a.iv)</w:t>
            </w:r>
          </w:p>
        </w:tc>
        <w:tc>
          <w:tcPr>
            <w:tcW w:w="4104" w:type="dxa"/>
            <w:tcBorders>
              <w:top w:val="single" w:sz="4" w:space="0" w:color="000000"/>
              <w:bottom w:val="single" w:sz="4" w:space="0" w:color="000000"/>
            </w:tcBorders>
          </w:tcPr>
          <w:p w14:paraId="01B63F50" w14:textId="77777777" w:rsidR="00BB62F4" w:rsidRDefault="00000000">
            <w:r>
              <w:t>Which government entity or department reviews material deviations from the applicable legal and regulatory framework governing license transfers and awards?</w:t>
            </w:r>
          </w:p>
        </w:tc>
        <w:tc>
          <w:tcPr>
            <w:tcW w:w="3544" w:type="dxa"/>
            <w:tcBorders>
              <w:top w:val="single" w:sz="4" w:space="0" w:color="000000"/>
              <w:bottom w:val="single" w:sz="4" w:space="0" w:color="000000"/>
            </w:tcBorders>
          </w:tcPr>
          <w:p w14:paraId="47A78F7E" w14:textId="77777777" w:rsidR="00BB62F4" w:rsidRDefault="00000000">
            <w:r>
              <w:rPr>
                <w:shd w:val="clear" w:color="auto" w:fill="D9E2F3"/>
              </w:rPr>
              <w:t xml:space="preserve">Responsible entity: </w:t>
            </w:r>
            <w:r>
              <w:rPr>
                <w:i/>
                <w:iCs/>
                <w:shd w:val="clear" w:color="auto" w:fill="D9E2F3"/>
              </w:rPr>
              <w:t>please specify</w:t>
            </w:r>
            <w:r>
              <w:t>:</w:t>
            </w:r>
          </w:p>
          <w:p w14:paraId="0238ADCB" w14:textId="77777777" w:rsidR="00BB62F4" w:rsidRDefault="00000000">
            <w:pPr>
              <w:rPr>
                <w:rFonts w:ascii="Times New Roman" w:eastAsia="Times New Roman" w:hAnsi="Times New Roman" w:cs="Times New Roman"/>
                <w:sz w:val="24"/>
                <w:szCs w:val="24"/>
              </w:rPr>
            </w:pPr>
            <w:hyperlink r:id="rId19">
              <w:r>
                <w:rPr>
                  <w:rFonts w:ascii="EB Garamond" w:eastAsia="EB Garamond" w:hAnsi="EB Garamond" w:cs="EB Garamond"/>
                  <w:color w:val="1155CC"/>
                  <w:u w:val="single"/>
                  <w:shd w:val="clear" w:color="auto" w:fill="D9E2F3"/>
                </w:rPr>
                <w:t>https://www.neiti.gov.ng/audits</w:t>
              </w:r>
            </w:hyperlink>
            <w:r>
              <w:rPr>
                <w:rFonts w:ascii="EB Garamond" w:eastAsia="EB Garamond" w:hAnsi="EB Garamond" w:cs="EB Garamond"/>
                <w:color w:val="FF0000"/>
                <w:shd w:val="clear" w:color="auto" w:fill="D9E2F3"/>
              </w:rPr>
              <w:t xml:space="preserve"> </w:t>
            </w:r>
          </w:p>
          <w:p w14:paraId="53700722" w14:textId="77777777" w:rsidR="00BB62F4" w:rsidRDefault="00000000">
            <w:pPr>
              <w:jc w:val="both"/>
              <w:rPr>
                <w:rFonts w:ascii="EB Garamond Medium" w:eastAsia="EB Garamond Medium" w:hAnsi="EB Garamond Medium" w:cs="EB Garamond Medium"/>
                <w:shd w:val="clear" w:color="auto" w:fill="EDF1F9"/>
              </w:rPr>
            </w:pPr>
            <w:r>
              <w:rPr>
                <w:rFonts w:ascii="EB Garamond Medium" w:eastAsia="EB Garamond Medium" w:hAnsi="EB Garamond Medium" w:cs="EB Garamond Medium"/>
                <w:shd w:val="clear" w:color="auto" w:fill="EDF1F9"/>
              </w:rPr>
              <w:t xml:space="preserve">Under the NEITI Act 2007, The NSWG(MSG)- is responsible for overseeing, reviewing, sets the scoping and materiality threshold and reporting material deviations in license awards and transfers per </w:t>
            </w:r>
            <w:hyperlink r:id="rId20">
              <w:r>
                <w:rPr>
                  <w:rFonts w:ascii="EB Garamond Medium" w:eastAsia="EB Garamond Medium" w:hAnsi="EB Garamond Medium" w:cs="EB Garamond Medium"/>
                  <w:color w:val="0000FF"/>
                  <w:u w:val="single"/>
                  <w:shd w:val="clear" w:color="auto" w:fill="EDF1F9"/>
                </w:rPr>
                <w:t>EITI requirement 2.2</w:t>
              </w:r>
            </w:hyperlink>
            <w:r>
              <w:rPr>
                <w:rFonts w:ascii="EB Garamond Medium" w:eastAsia="EB Garamond Medium" w:hAnsi="EB Garamond Medium" w:cs="EB Garamond Medium"/>
                <w:shd w:val="clear" w:color="auto" w:fill="EDF1F9"/>
              </w:rPr>
              <w:t xml:space="preserve"> (i.e. what constitutes a “material “deviation) </w:t>
            </w:r>
            <w:r>
              <w:rPr>
                <w:rFonts w:ascii="EB Garamond Medium" w:eastAsia="EB Garamond Medium" w:hAnsi="EB Garamond Medium" w:cs="EB Garamond Medium"/>
                <w:shd w:val="clear" w:color="auto" w:fill="EDF1F9"/>
              </w:rPr>
              <w:lastRenderedPageBreak/>
              <w:t>for each reporting cycle.  The NEITI NSWG, supported by independent auditors, identifies and documents these deviations in its annual oil &amp; gas and solid minerals industry reports. While NEITI reports them, structural deviations often involve regulators like the NUPRC (formerly DPR) or NRS (formerly (FIRS), whose data is reconciled by NEITI.</w:t>
            </w:r>
          </w:p>
          <w:p w14:paraId="0BCE7AA6" w14:textId="77777777" w:rsidR="00BB62F4" w:rsidRDefault="00BB62F4">
            <w:pPr>
              <w:jc w:val="both"/>
              <w:rPr>
                <w:rFonts w:ascii="EB Garamond Medium" w:eastAsia="EB Garamond Medium" w:hAnsi="EB Garamond Medium" w:cs="EB Garamond Medium"/>
                <w:shd w:val="clear" w:color="auto" w:fill="EDF1F9"/>
              </w:rPr>
            </w:pPr>
          </w:p>
          <w:p w14:paraId="0B43EDE0" w14:textId="77777777" w:rsidR="00BB62F4" w:rsidRDefault="00BB62F4"/>
          <w:p w14:paraId="48096D5C" w14:textId="77777777" w:rsidR="00BB62F4" w:rsidRDefault="00BB62F4">
            <w:pPr>
              <w:rPr>
                <w:shd w:val="clear" w:color="auto" w:fill="D9E2F3"/>
              </w:rPr>
            </w:pPr>
          </w:p>
        </w:tc>
      </w:tr>
      <w:tr w:rsidR="00BB62F4" w14:paraId="0E85AF86" w14:textId="77777777">
        <w:trPr>
          <w:trHeight w:val="686"/>
        </w:trPr>
        <w:tc>
          <w:tcPr>
            <w:tcW w:w="1424" w:type="dxa"/>
            <w:tcBorders>
              <w:top w:val="single" w:sz="4" w:space="0" w:color="000000"/>
              <w:bottom w:val="single" w:sz="4" w:space="0" w:color="000000"/>
            </w:tcBorders>
          </w:tcPr>
          <w:p w14:paraId="420ECE68" w14:textId="77777777" w:rsidR="00BB62F4" w:rsidRDefault="00000000">
            <w:pPr>
              <w:rPr>
                <w:b/>
                <w:bCs/>
              </w:rPr>
            </w:pPr>
            <w:r>
              <w:rPr>
                <w:b/>
                <w:bCs/>
              </w:rPr>
              <w:lastRenderedPageBreak/>
              <w:t>Beneficial ownership</w:t>
            </w:r>
          </w:p>
          <w:p w14:paraId="4D113AD5" w14:textId="77777777" w:rsidR="00BB62F4" w:rsidRDefault="00000000">
            <w:pPr>
              <w:rPr>
                <w:b/>
                <w:bCs/>
              </w:rPr>
            </w:pPr>
            <w:r>
              <w:rPr>
                <w:b/>
                <w:bCs/>
              </w:rPr>
              <w:t>2.2.c</w:t>
            </w:r>
          </w:p>
        </w:tc>
        <w:tc>
          <w:tcPr>
            <w:tcW w:w="4104" w:type="dxa"/>
            <w:tcBorders>
              <w:top w:val="single" w:sz="4" w:space="0" w:color="000000"/>
              <w:bottom w:val="single" w:sz="4" w:space="0" w:color="000000"/>
            </w:tcBorders>
          </w:tcPr>
          <w:p w14:paraId="290AC90F" w14:textId="77777777" w:rsidR="00BB62F4" w:rsidRDefault="00000000">
            <w:r>
              <w:t xml:space="preserve">Which entity holds/is responsible for collecting beneficial ownership information? </w:t>
            </w:r>
          </w:p>
        </w:tc>
        <w:tc>
          <w:tcPr>
            <w:tcW w:w="3544" w:type="dxa"/>
            <w:tcBorders>
              <w:top w:val="single" w:sz="4" w:space="0" w:color="000000"/>
              <w:bottom w:val="single" w:sz="4" w:space="0" w:color="000000"/>
            </w:tcBorders>
          </w:tcPr>
          <w:p w14:paraId="1DD00976" w14:textId="77777777" w:rsidR="00BB62F4" w:rsidRDefault="00000000">
            <w:pPr>
              <w:jc w:val="both"/>
            </w:pPr>
            <w:r>
              <w:rPr>
                <w:shd w:val="clear" w:color="auto" w:fill="D9E2F3"/>
              </w:rPr>
              <w:t xml:space="preserve">Responsible entity: </w:t>
            </w:r>
            <w:hyperlink r:id="rId21">
              <w:r>
                <w:rPr>
                  <w:color w:val="0000FF"/>
                  <w:u w:val="single"/>
                  <w:shd w:val="clear" w:color="auto" w:fill="D9E2F3"/>
                </w:rPr>
                <w:t>NUPRC</w:t>
              </w:r>
            </w:hyperlink>
            <w:r>
              <w:rPr>
                <w:shd w:val="clear" w:color="auto" w:fill="D9E2F3"/>
              </w:rPr>
              <w:t>/</w:t>
            </w:r>
            <w:hyperlink r:id="rId22">
              <w:r>
                <w:rPr>
                  <w:color w:val="0000FF"/>
                  <w:u w:val="single"/>
                  <w:shd w:val="clear" w:color="auto" w:fill="D9E2F3"/>
                </w:rPr>
                <w:t>CAC</w:t>
              </w:r>
            </w:hyperlink>
            <w:r>
              <w:t>:</w:t>
            </w:r>
          </w:p>
          <w:p w14:paraId="5107B282" w14:textId="77777777" w:rsidR="00BB62F4" w:rsidRDefault="00000000">
            <w:pPr>
              <w:jc w:val="both"/>
            </w:pPr>
            <w:r>
              <w:t xml:space="preserve">Nigeria legislated for beneficial ownership transparency through CAMA of 2020, The Corporate Affairs Commission </w:t>
            </w:r>
            <w:hyperlink r:id="rId23">
              <w:r>
                <w:rPr>
                  <w:color w:val="0000FF"/>
                  <w:u w:val="single"/>
                </w:rPr>
                <w:t>(CAC)</w:t>
              </w:r>
            </w:hyperlink>
            <w:r>
              <w:t xml:space="preserve">) operates main registry mandated under the Companies and Allied Matters Act (CAMA) 2020 to collect, store and manage the Central register of beneficial owners (Persons with Significant Control) PSC Register for all companies and gave free public access to beneficial ownership data pursuant to Section 119(3) of CAMA through its website. </w:t>
            </w:r>
            <w:hyperlink r:id="rId24">
              <w:r>
                <w:rPr>
                  <w:color w:val="0000FF"/>
                  <w:u w:val="single"/>
                </w:rPr>
                <w:t>Beneficial Ownership Register BO</w:t>
              </w:r>
            </w:hyperlink>
            <w:r>
              <w:t>.</w:t>
            </w:r>
          </w:p>
          <w:p w14:paraId="2F57F95F" w14:textId="77777777" w:rsidR="00BB62F4" w:rsidRDefault="00000000">
            <w:pPr>
              <w:jc w:val="both"/>
            </w:pPr>
            <w:r>
              <w:t>The NUPRC specifically for the upstream oil and gas sector (formerly Department of Petroleum Resources-DPR) mandates that all entities applying for or holding oil and gas licenses/leases disclose their beneficial owners pursuant to Section 7 (f) (ii) of the Petroleum Industry Act 2021 using the Beneficial Ownership Declaration form (</w:t>
            </w:r>
            <w:hyperlink r:id="rId25">
              <w:r>
                <w:rPr>
                  <w:color w:val="0000FF"/>
                  <w:u w:val="single"/>
                </w:rPr>
                <w:t>here</w:t>
              </w:r>
            </w:hyperlink>
            <w:r>
              <w:t>).</w:t>
            </w:r>
          </w:p>
          <w:p w14:paraId="5D068AAD" w14:textId="77777777" w:rsidR="00BB62F4" w:rsidRDefault="00000000">
            <w:pPr>
              <w:jc w:val="both"/>
            </w:pPr>
            <w:r>
              <w:t xml:space="preserve">NEITI plays a critical role in promoting transparency, conducting Industry Audits, and creating a specialized, transparent portal </w:t>
            </w:r>
            <w:hyperlink r:id="rId26">
              <w:r>
                <w:rPr>
                  <w:color w:val="0000FF"/>
                  <w:u w:val="single"/>
                </w:rPr>
                <w:t>for beneficial ownership (NEITI)</w:t>
              </w:r>
            </w:hyperlink>
            <w:r>
              <w:t xml:space="preserve"> in the extractive industries.</w:t>
            </w:r>
          </w:p>
          <w:p w14:paraId="5F02EE88" w14:textId="77777777" w:rsidR="00BB62F4" w:rsidRDefault="00000000">
            <w:pPr>
              <w:jc w:val="both"/>
            </w:pPr>
            <w:r>
              <w:t xml:space="preserve">CAC is the legal, central repository for company ownership data, NUPRC as the “The Commission” enforces specific, sectoral, and </w:t>
            </w:r>
            <w:r>
              <w:lastRenderedPageBreak/>
              <w:t>immediate reporting of beneficial ownership for the oil and gas license holders.</w:t>
            </w:r>
          </w:p>
        </w:tc>
      </w:tr>
      <w:tr w:rsidR="00BB62F4" w14:paraId="30338251" w14:textId="77777777">
        <w:trPr>
          <w:trHeight w:val="686"/>
        </w:trPr>
        <w:tc>
          <w:tcPr>
            <w:tcW w:w="1424" w:type="dxa"/>
            <w:tcBorders>
              <w:top w:val="single" w:sz="4" w:space="0" w:color="000000"/>
              <w:bottom w:val="single" w:sz="4" w:space="0" w:color="000000"/>
            </w:tcBorders>
          </w:tcPr>
          <w:p w14:paraId="39AB7289" w14:textId="77777777" w:rsidR="00BB62F4" w:rsidRDefault="00000000">
            <w:pPr>
              <w:rPr>
                <w:b/>
                <w:bCs/>
              </w:rPr>
            </w:pPr>
            <w:r>
              <w:rPr>
                <w:b/>
                <w:bCs/>
              </w:rPr>
              <w:lastRenderedPageBreak/>
              <w:br/>
            </w:r>
          </w:p>
          <w:p w14:paraId="0155B6DC" w14:textId="77777777" w:rsidR="00BB62F4" w:rsidRDefault="00000000">
            <w:pPr>
              <w:rPr>
                <w:b/>
                <w:bCs/>
              </w:rPr>
            </w:pPr>
            <w:r>
              <w:rPr>
                <w:b/>
                <w:bCs/>
              </w:rPr>
              <w:t xml:space="preserve">Additional information </w:t>
            </w:r>
          </w:p>
          <w:p w14:paraId="5054B52B" w14:textId="77777777" w:rsidR="00BB62F4" w:rsidRDefault="00000000">
            <w:pPr>
              <w:rPr>
                <w:b/>
                <w:bCs/>
              </w:rPr>
            </w:pPr>
            <w:r>
              <w:rPr>
                <w:b/>
                <w:bCs/>
              </w:rPr>
              <w:t>2.</w:t>
            </w:r>
            <w:proofErr w:type="gramStart"/>
            <w:r>
              <w:rPr>
                <w:b/>
                <w:bCs/>
              </w:rPr>
              <w:t>2.d</w:t>
            </w:r>
            <w:proofErr w:type="gramEnd"/>
          </w:p>
        </w:tc>
        <w:tc>
          <w:tcPr>
            <w:tcW w:w="4104" w:type="dxa"/>
            <w:tcBorders>
              <w:top w:val="single" w:sz="4" w:space="0" w:color="000000"/>
              <w:bottom w:val="single" w:sz="4" w:space="0" w:color="000000"/>
            </w:tcBorders>
          </w:tcPr>
          <w:p w14:paraId="5CB702A5" w14:textId="77777777" w:rsidR="00BB62F4" w:rsidRDefault="00000000">
            <w:r>
              <w:t>Which entity could provide or support a commentary on the efficiency and effectiveness of licensing procedures; a description of procedures, actual practices and grounds for renewing, suspending or revoking a contract or license; and information regarding changes in majority ownership of license holding companies.</w:t>
            </w:r>
          </w:p>
        </w:tc>
        <w:tc>
          <w:tcPr>
            <w:tcW w:w="3544" w:type="dxa"/>
            <w:tcBorders>
              <w:top w:val="single" w:sz="4" w:space="0" w:color="000000"/>
              <w:bottom w:val="single" w:sz="4" w:space="0" w:color="000000"/>
            </w:tcBorders>
          </w:tcPr>
          <w:p w14:paraId="73ED58F1" w14:textId="77777777" w:rsidR="00BB62F4" w:rsidRDefault="00000000">
            <w:r>
              <w:rPr>
                <w:shd w:val="clear" w:color="auto" w:fill="D9E2F3"/>
              </w:rPr>
              <w:t>Competent entity: NUPRC</w:t>
            </w:r>
            <w:r>
              <w:t>:</w:t>
            </w:r>
          </w:p>
          <w:p w14:paraId="737A100E" w14:textId="77777777" w:rsidR="00BB62F4" w:rsidRDefault="00000000">
            <w:pPr>
              <w:jc w:val="both"/>
              <w:rPr>
                <w:rFonts w:ascii="EB Garamond" w:eastAsia="EB Garamond" w:hAnsi="EB Garamond" w:cs="EB Garamond"/>
                <w:color w:val="000000"/>
                <w:shd w:val="clear" w:color="auto" w:fill="EDF1F9"/>
              </w:rPr>
            </w:pPr>
            <w:r>
              <w:rPr>
                <w:rFonts w:ascii="EB Garamond" w:eastAsia="EB Garamond" w:hAnsi="EB Garamond" w:cs="EB Garamond"/>
                <w:color w:val="000000"/>
                <w:shd w:val="clear" w:color="auto" w:fill="EDF1F9"/>
              </w:rPr>
              <w:t>Under the Petroleum Industry Act (PIA) 2021, NUPRC is mandated to govern petroleum licenses and leases, overseeing renewals, grounds for revocation (non-performance), and assignment of interests, The CAC manages overall corporate structural changes.</w:t>
            </w:r>
          </w:p>
          <w:p w14:paraId="2CC6E8B1" w14:textId="77777777" w:rsidR="00BB62F4" w:rsidRDefault="00000000">
            <w:pPr>
              <w:jc w:val="both"/>
              <w:rPr>
                <w:rFonts w:ascii="EB Garamond Medium" w:eastAsia="EB Garamond Medium" w:hAnsi="EB Garamond Medium" w:cs="EB Garamond Medium"/>
                <w:shd w:val="clear" w:color="auto" w:fill="D9E2F3"/>
              </w:rPr>
            </w:pPr>
            <w:r>
              <w:rPr>
                <w:rFonts w:ascii="EB Garamond Medium" w:eastAsia="EB Garamond Medium" w:hAnsi="EB Garamond Medium" w:cs="EB Garamond Medium"/>
                <w:shd w:val="clear" w:color="auto" w:fill="EDF1F9"/>
              </w:rPr>
              <w:t>The Office of the National Economic Adviser, Office of the National Security Adviser, Ministry of Budget and National Planning, ICPC, EFCC, or ad hoc panels or committees established by the President or the National Assembly may also exercise similar oversight</w:t>
            </w:r>
          </w:p>
          <w:p w14:paraId="65D98EAA" w14:textId="77777777" w:rsidR="00BB62F4" w:rsidRDefault="00BB62F4">
            <w:pPr>
              <w:jc w:val="both"/>
              <w:rPr>
                <w:rFonts w:ascii="Times New Roman" w:eastAsia="Times New Roman" w:hAnsi="Times New Roman" w:cs="Times New Roman"/>
                <w:sz w:val="24"/>
                <w:szCs w:val="24"/>
              </w:rPr>
            </w:pPr>
          </w:p>
          <w:p w14:paraId="6642EAB8" w14:textId="77777777" w:rsidR="00BB62F4" w:rsidRDefault="00BB62F4">
            <w:pPr>
              <w:jc w:val="both"/>
              <w:rPr>
                <w:shd w:val="clear" w:color="auto" w:fill="D9E2F3"/>
              </w:rPr>
            </w:pPr>
          </w:p>
        </w:tc>
      </w:tr>
    </w:tbl>
    <w:p w14:paraId="431B1F5D" w14:textId="77777777" w:rsidR="00BB62F4" w:rsidRDefault="00000000">
      <w:pPr>
        <w:pBdr>
          <w:top w:val="nil"/>
          <w:left w:val="nil"/>
          <w:bottom w:val="nil"/>
          <w:right w:val="nil"/>
          <w:between w:val="nil"/>
        </w:pBdr>
        <w:spacing w:before="0" w:after="0" w:line="276" w:lineRule="auto"/>
        <w:rPr>
          <w:i/>
          <w:iCs/>
          <w:color w:val="595959"/>
        </w:rPr>
      </w:pPr>
      <w:r>
        <w:rPr>
          <w:i/>
          <w:iCs/>
          <w:color w:val="808080"/>
          <w:sz w:val="18"/>
          <w:szCs w:val="18"/>
        </w:rPr>
        <w:t>Choose an item.</w:t>
      </w:r>
    </w:p>
    <w:p w14:paraId="028F06A2" w14:textId="77777777" w:rsidR="00BB62F4" w:rsidRDefault="00000000">
      <w:pPr>
        <w:pStyle w:val="Heading3"/>
      </w:pPr>
      <w:bookmarkStart w:id="7" w:name="_heading=h.mgq0sbldaoe" w:colFirst="0" w:colLast="0"/>
      <w:bookmarkEnd w:id="7"/>
      <w:r>
        <w:t>Technical requirements</w:t>
      </w:r>
    </w:p>
    <w:p w14:paraId="43FE3225" w14:textId="77777777" w:rsidR="00BB62F4" w:rsidRDefault="00000000">
      <w:pPr>
        <w:pStyle w:val="Heading4"/>
      </w:pPr>
      <w:r>
        <w:t>General questions on licensing policy and practice</w:t>
      </w:r>
    </w:p>
    <w:p w14:paraId="09D67F40" w14:textId="77777777" w:rsidR="00BB62F4" w:rsidRDefault="00000000">
      <w:r>
        <w:t xml:space="preserve">Which type of agreement does the country issue for the sector covered by this template?   </w:t>
      </w:r>
    </w:p>
    <w:p w14:paraId="04DC8183" w14:textId="77777777" w:rsidR="00BB62F4" w:rsidRDefault="00000000">
      <w:r>
        <w:rPr>
          <w:rFonts w:ascii="MS Gothic" w:eastAsia="MS Gothic" w:hAnsi="MS Gothic" w:cs="MS Gothic"/>
        </w:rPr>
        <w:t>☒</w:t>
      </w:r>
      <w:r>
        <w:t xml:space="preserve"> Licenses, i.e. a standard license is issued and the terms and obligations are prescribed by law </w:t>
      </w:r>
    </w:p>
    <w:p w14:paraId="1A61281A" w14:textId="77777777" w:rsidR="00BB62F4" w:rsidRDefault="00000000">
      <w:r>
        <w:rPr>
          <w:rFonts w:ascii="MS Gothic" w:eastAsia="MS Gothic" w:hAnsi="MS Gothic" w:cs="MS Gothic"/>
        </w:rPr>
        <w:t>☒</w:t>
      </w:r>
      <w:r>
        <w:t xml:space="preserve"> Contracts i.e., terms and obligations for each agreement vary depending on negotiations between parties</w:t>
      </w:r>
    </w:p>
    <w:p w14:paraId="1C4C390D" w14:textId="77777777" w:rsidR="00BB62F4" w:rsidRDefault="00000000">
      <w:pPr>
        <w:jc w:val="both"/>
        <w:rPr>
          <w:shd w:val="clear" w:color="auto" w:fill="D9E2F3"/>
        </w:rPr>
      </w:pPr>
      <w:r>
        <w:rPr>
          <w:rFonts w:ascii="MS Gothic" w:eastAsia="MS Gothic" w:hAnsi="MS Gothic" w:cs="MS Gothic"/>
        </w:rPr>
        <w:t>☒</w:t>
      </w:r>
      <w:r>
        <w:t xml:space="preserve"> Others. Please </w:t>
      </w:r>
      <w:r>
        <w:rPr>
          <w:shd w:val="clear" w:color="auto" w:fill="D9E2F3"/>
        </w:rPr>
        <w:t>explain</w:t>
      </w:r>
    </w:p>
    <w:p w14:paraId="333565C4" w14:textId="77777777" w:rsidR="00BB62F4" w:rsidRDefault="00000000">
      <w:pPr>
        <w:jc w:val="both"/>
      </w:pPr>
      <w:r>
        <w:t>In Nigeria's upstream oil and gas sector, the government issues various agreements, primarily </w:t>
      </w:r>
      <w:r>
        <w:rPr>
          <w:b/>
          <w:bCs/>
          <w:highlight w:val="white"/>
        </w:rPr>
        <w:t>Joint Venture Agreements (JVAs)</w:t>
      </w:r>
      <w:r>
        <w:rPr>
          <w:highlight w:val="white"/>
        </w:rPr>
        <w:t> with NNPC Ltd and International Oil Companies (IOCs) for shared risk/reward, alongside </w:t>
      </w:r>
      <w:hyperlink r:id="rId27">
        <w:r>
          <w:rPr>
            <w:b/>
            <w:bCs/>
            <w:highlight w:val="white"/>
            <w:u w:val="single"/>
          </w:rPr>
          <w:t>Production Sharing Contracts</w:t>
        </w:r>
      </w:hyperlink>
      <w:r>
        <w:rPr>
          <w:b/>
          <w:bCs/>
          <w:highlight w:val="white"/>
        </w:rPr>
        <w:t> (PSCs)</w:t>
      </w:r>
      <w:r>
        <w:rPr>
          <w:highlight w:val="white"/>
        </w:rPr>
        <w:t> and increasingly </w:t>
      </w:r>
      <w:hyperlink r:id="rId28">
        <w:r>
          <w:rPr>
            <w:b/>
            <w:bCs/>
            <w:highlight w:val="white"/>
            <w:u w:val="single"/>
          </w:rPr>
          <w:t>Risk Service Contracts</w:t>
        </w:r>
      </w:hyperlink>
      <w:r>
        <w:rPr>
          <w:b/>
          <w:bCs/>
          <w:highlight w:val="white"/>
        </w:rPr>
        <w:t> (RSCs)</w:t>
      </w:r>
      <w:r>
        <w:rPr>
          <w:highlight w:val="white"/>
        </w:rPr>
        <w:t>, all under the framework of the </w:t>
      </w:r>
      <w:hyperlink r:id="rId29">
        <w:r>
          <w:rPr>
            <w:highlight w:val="white"/>
            <w:u w:val="single"/>
          </w:rPr>
          <w:t>Petroleum Industry Act (PIA) 2021</w:t>
        </w:r>
      </w:hyperlink>
      <w:r>
        <w:rPr>
          <w:highlight w:val="white"/>
        </w:rPr>
        <w:t>, defining models like Concession Agreements, PSCs, Profit Sharing, and Service Contracts. </w:t>
      </w:r>
    </w:p>
    <w:p w14:paraId="228DD2F7" w14:textId="77777777" w:rsidR="00BB62F4" w:rsidRDefault="00BB62F4"/>
    <w:p w14:paraId="35E32180" w14:textId="77777777" w:rsidR="00BB62F4" w:rsidRDefault="00000000">
      <w:pPr>
        <w:rPr>
          <w:b/>
          <w:bCs/>
        </w:rPr>
      </w:pPr>
      <w:r>
        <w:rPr>
          <w:b/>
          <w:bCs/>
        </w:rPr>
        <w:t xml:space="preserve">According to the legal framework, what are the possible license allocation methods for </w:t>
      </w:r>
      <w:r>
        <w:rPr>
          <w:b/>
          <w:bCs/>
          <w:highlight w:val="yellow"/>
        </w:rPr>
        <w:t xml:space="preserve">the </w:t>
      </w:r>
      <w:r>
        <w:rPr>
          <w:highlight w:val="yellow"/>
        </w:rPr>
        <w:t>Choose an item.</w:t>
      </w:r>
      <w:r>
        <w:rPr>
          <w:b/>
          <w:bCs/>
          <w:highlight w:val="yellow"/>
        </w:rPr>
        <w:t xml:space="preserve">  sector?</w:t>
      </w:r>
      <w:r>
        <w:t xml:space="preserve"> </w:t>
      </w:r>
      <w:r>
        <w:br/>
        <w:t>Multiple selection is possible.</w:t>
      </w:r>
    </w:p>
    <w:p w14:paraId="6589082F" w14:textId="77777777" w:rsidR="00BB62F4" w:rsidRDefault="00000000">
      <w:r>
        <w:rPr>
          <w:rFonts w:ascii="MS Gothic" w:eastAsia="MS Gothic" w:hAnsi="MS Gothic" w:cs="MS Gothic"/>
        </w:rPr>
        <w:t>☐</w:t>
      </w:r>
      <w:r>
        <w:t xml:space="preserve"> First-come- first-served</w:t>
      </w:r>
    </w:p>
    <w:p w14:paraId="550BE75D" w14:textId="77777777" w:rsidR="00BB62F4" w:rsidRDefault="00000000">
      <w:r>
        <w:rPr>
          <w:rFonts w:ascii="MS Gothic" w:eastAsia="MS Gothic" w:hAnsi="MS Gothic" w:cs="MS Gothic"/>
        </w:rPr>
        <w:t>☒</w:t>
      </w:r>
      <w:r>
        <w:t xml:space="preserve"> Competitive bidding</w:t>
      </w:r>
    </w:p>
    <w:p w14:paraId="44B7B107" w14:textId="77777777" w:rsidR="00BB62F4" w:rsidRDefault="00000000">
      <w:r>
        <w:rPr>
          <w:rFonts w:ascii="MS Gothic" w:eastAsia="MS Gothic" w:hAnsi="MS Gothic" w:cs="MS Gothic"/>
        </w:rPr>
        <w:t>☒</w:t>
      </w:r>
      <w:r>
        <w:t xml:space="preserve"> Direct negotiation</w:t>
      </w:r>
    </w:p>
    <w:p w14:paraId="560F3601" w14:textId="77777777" w:rsidR="00BB62F4" w:rsidRDefault="00000000">
      <w:r>
        <w:rPr>
          <w:rFonts w:ascii="MS Gothic" w:eastAsia="MS Gothic" w:hAnsi="MS Gothic" w:cs="MS Gothic"/>
        </w:rPr>
        <w:t>☐</w:t>
      </w:r>
      <w:r>
        <w:t xml:space="preserve"> Fast-tracked</w:t>
      </w:r>
    </w:p>
    <w:p w14:paraId="2097A3C0" w14:textId="77777777" w:rsidR="00BB62F4" w:rsidRDefault="00000000">
      <w:r>
        <w:rPr>
          <w:rFonts w:ascii="MS Gothic" w:eastAsia="MS Gothic" w:hAnsi="MS Gothic" w:cs="MS Gothic"/>
        </w:rPr>
        <w:t>☐</w:t>
      </w:r>
      <w:r>
        <w:t xml:space="preserve"> Other. Please </w:t>
      </w:r>
      <w:r>
        <w:rPr>
          <w:shd w:val="clear" w:color="auto" w:fill="D9E2F3"/>
        </w:rPr>
        <w:t>explain […]</w:t>
      </w:r>
      <w:r>
        <w:t>.</w:t>
      </w:r>
    </w:p>
    <w:p w14:paraId="7471B8FD" w14:textId="77777777" w:rsidR="00BB62F4" w:rsidRDefault="00BB62F4"/>
    <w:p w14:paraId="49D2C39C" w14:textId="77777777" w:rsidR="00BB62F4" w:rsidRDefault="00000000">
      <w:pPr>
        <w:rPr>
          <w:b/>
          <w:bCs/>
        </w:rPr>
      </w:pPr>
      <w:r>
        <w:rPr>
          <w:b/>
          <w:bCs/>
        </w:rPr>
        <w:lastRenderedPageBreak/>
        <w:t>In the period under review, which license allocation methods were exercised?</w:t>
      </w:r>
      <w:r>
        <w:rPr>
          <w:b/>
          <w:bCs/>
        </w:rPr>
        <w:br/>
      </w:r>
      <w:r>
        <w:t>Multiple selection is possible.</w:t>
      </w:r>
    </w:p>
    <w:p w14:paraId="35A721B2" w14:textId="77777777" w:rsidR="00BB62F4" w:rsidRDefault="00000000">
      <w:r>
        <w:rPr>
          <w:rFonts w:ascii="MS Gothic" w:eastAsia="MS Gothic" w:hAnsi="MS Gothic" w:cs="MS Gothic"/>
        </w:rPr>
        <w:t>☐</w:t>
      </w:r>
      <w:r>
        <w:t xml:space="preserve"> No licenses were allocated in the period under review (relevant for Validation in particular)</w:t>
      </w:r>
    </w:p>
    <w:p w14:paraId="67C48453" w14:textId="77777777" w:rsidR="00BB62F4" w:rsidRDefault="00000000">
      <w:r>
        <w:rPr>
          <w:rFonts w:ascii="MS Gothic" w:eastAsia="MS Gothic" w:hAnsi="MS Gothic" w:cs="MS Gothic"/>
        </w:rPr>
        <w:t>☐</w:t>
      </w:r>
      <w:r>
        <w:t xml:space="preserve"> First-come- first-served</w:t>
      </w:r>
    </w:p>
    <w:p w14:paraId="79155C1C" w14:textId="77777777" w:rsidR="00BB62F4" w:rsidRDefault="00000000">
      <w:r>
        <w:rPr>
          <w:rFonts w:ascii="MS Gothic" w:eastAsia="MS Gothic" w:hAnsi="MS Gothic" w:cs="MS Gothic"/>
        </w:rPr>
        <w:t>☒</w:t>
      </w:r>
      <w:r>
        <w:t xml:space="preserve"> Competitive bidding</w:t>
      </w:r>
    </w:p>
    <w:p w14:paraId="437B96F5" w14:textId="77777777" w:rsidR="00BB62F4" w:rsidRDefault="00000000">
      <w:r>
        <w:rPr>
          <w:rFonts w:ascii="MS Gothic" w:eastAsia="MS Gothic" w:hAnsi="MS Gothic" w:cs="MS Gothic"/>
        </w:rPr>
        <w:t>☐</w:t>
      </w:r>
      <w:r>
        <w:t xml:space="preserve"> Direct negotiation</w:t>
      </w:r>
    </w:p>
    <w:p w14:paraId="775B0759" w14:textId="77777777" w:rsidR="00BB62F4" w:rsidRDefault="00000000">
      <w:r>
        <w:rPr>
          <w:rFonts w:ascii="MS Gothic" w:eastAsia="MS Gothic" w:hAnsi="MS Gothic" w:cs="MS Gothic"/>
        </w:rPr>
        <w:t>☐</w:t>
      </w:r>
      <w:r>
        <w:t xml:space="preserve"> Fast-tracked</w:t>
      </w:r>
    </w:p>
    <w:p w14:paraId="7A35D312" w14:textId="77777777" w:rsidR="00BB62F4" w:rsidRDefault="00000000">
      <w:r>
        <w:rPr>
          <w:rFonts w:ascii="MS Gothic" w:eastAsia="MS Gothic" w:hAnsi="MS Gothic" w:cs="MS Gothic"/>
        </w:rPr>
        <w:t>☐</w:t>
      </w:r>
      <w:r>
        <w:t xml:space="preserve"> Other, please </w:t>
      </w:r>
      <w:r>
        <w:rPr>
          <w:shd w:val="clear" w:color="auto" w:fill="D9E2F3"/>
        </w:rPr>
        <w:t>explain […]</w:t>
      </w:r>
      <w:r>
        <w:t>.</w:t>
      </w:r>
    </w:p>
    <w:p w14:paraId="7DEF4F8C" w14:textId="77777777" w:rsidR="00BB62F4" w:rsidRDefault="00000000">
      <w:pPr>
        <w:rPr>
          <w:b/>
          <w:bCs/>
        </w:rPr>
      </w:pPr>
      <w:r>
        <w:br/>
      </w:r>
      <w:r>
        <w:rPr>
          <w:b/>
          <w:bCs/>
        </w:rPr>
        <w:t xml:space="preserve">When is public information made available on the award or transfers of licenses or contracts? </w:t>
      </w:r>
    </w:p>
    <w:p w14:paraId="60CBB15B" w14:textId="77777777" w:rsidR="00BB62F4" w:rsidRDefault="00000000">
      <w:r>
        <w:rPr>
          <w:rFonts w:ascii="MS Gothic" w:eastAsia="MS Gothic" w:hAnsi="MS Gothic" w:cs="MS Gothic"/>
        </w:rPr>
        <w:t>☐</w:t>
      </w:r>
      <w:r>
        <w:t xml:space="preserve"> In real time or within one week of the award or transfer</w:t>
      </w:r>
    </w:p>
    <w:p w14:paraId="015FE7E0" w14:textId="77777777" w:rsidR="00BB62F4" w:rsidRDefault="00000000">
      <w:r>
        <w:rPr>
          <w:rFonts w:ascii="MS Gothic" w:eastAsia="MS Gothic" w:hAnsi="MS Gothic" w:cs="MS Gothic"/>
        </w:rPr>
        <w:t>☐</w:t>
      </w:r>
      <w:r>
        <w:t xml:space="preserve"> Within a month</w:t>
      </w:r>
    </w:p>
    <w:p w14:paraId="574F1A7F" w14:textId="77777777" w:rsidR="00BB62F4" w:rsidRDefault="00000000">
      <w:r>
        <w:rPr>
          <w:rFonts w:ascii="MS Gothic" w:eastAsia="MS Gothic" w:hAnsi="MS Gothic" w:cs="MS Gothic"/>
        </w:rPr>
        <w:t>☐</w:t>
      </w:r>
      <w:r>
        <w:t xml:space="preserve"> Through EITI reporting only (i.e., up to 24 months)</w:t>
      </w:r>
    </w:p>
    <w:p w14:paraId="10B854BB" w14:textId="77777777" w:rsidR="00BB62F4" w:rsidRDefault="00000000">
      <w:pPr>
        <w:jc w:val="both"/>
      </w:pPr>
      <w:r>
        <w:rPr>
          <w:rFonts w:ascii="MS Gothic" w:eastAsia="MS Gothic" w:hAnsi="MS Gothic" w:cs="MS Gothic"/>
        </w:rPr>
        <w:t>☒</w:t>
      </w:r>
      <w:r>
        <w:t xml:space="preserve"> </w:t>
      </w:r>
      <w:r>
        <w:rPr>
          <w:shd w:val="clear" w:color="auto" w:fill="D9E2F3"/>
        </w:rPr>
        <w:t>Other: please specify:</w:t>
      </w:r>
      <w:r>
        <w:t xml:space="preserve">  In the year under review (2023) the information on the award or transfer of licenses or contracts in Nigeria was made available through the Federal Government Gazette and on the websites of the regulatory bodies, primarily the Nigerian Upstream Petroleum Regulatory Commission </w:t>
      </w:r>
      <w:hyperlink r:id="rId30">
        <w:r>
          <w:rPr>
            <w:color w:val="1155CC"/>
            <w:u w:val="single"/>
          </w:rPr>
          <w:t>Licences | NUPRC</w:t>
        </w:r>
      </w:hyperlink>
      <w:r>
        <w:t xml:space="preserve">  in accordance with the Petroleum Industry Act </w:t>
      </w:r>
      <w:hyperlink r:id="rId31">
        <w:r>
          <w:rPr>
            <w:color w:val="0000FF"/>
            <w:u w:val="single"/>
          </w:rPr>
          <w:t>(PIA</w:t>
        </w:r>
      </w:hyperlink>
      <w:r>
        <w:t xml:space="preserve">) 2021 and through  published through EITI reporting </w:t>
      </w:r>
      <w:hyperlink r:id="rId32">
        <w:r>
          <w:rPr>
            <w:color w:val="0000FF"/>
            <w:u w:val="single"/>
          </w:rPr>
          <w:t>from NEITI 2023 Oil and Gas Industry Audit Report</w:t>
        </w:r>
      </w:hyperlink>
      <w:r>
        <w:t xml:space="preserve"> (Chapter 2-Page 27-28).</w:t>
      </w:r>
    </w:p>
    <w:p w14:paraId="0A9739AB" w14:textId="77777777" w:rsidR="00BB62F4" w:rsidRDefault="00BB62F4"/>
    <w:p w14:paraId="668BFD48" w14:textId="77777777" w:rsidR="00BB62F4" w:rsidRDefault="00BB62F4"/>
    <w:tbl>
      <w:tblPr>
        <w:tblStyle w:val="a2"/>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6975"/>
      </w:tblGrid>
      <w:tr w:rsidR="00BB62F4" w14:paraId="0DB89FF9" w14:textId="77777777">
        <w:tc>
          <w:tcPr>
            <w:tcW w:w="1530" w:type="dxa"/>
            <w:tcBorders>
              <w:top w:val="nil"/>
              <w:left w:val="nil"/>
              <w:bottom w:val="nil"/>
              <w:right w:val="nil"/>
            </w:tcBorders>
            <w:shd w:val="clear" w:color="auto" w:fill="B4C6E7"/>
          </w:tcPr>
          <w:p w14:paraId="23809AC9" w14:textId="77777777" w:rsidR="00BB62F4" w:rsidRDefault="00000000">
            <w:pPr>
              <w:ind w:right="449"/>
              <w:rPr>
                <w:b/>
                <w:bCs/>
              </w:rPr>
            </w:pPr>
            <w:r>
              <w:rPr>
                <w:b/>
                <w:bCs/>
              </w:rPr>
              <w:t>Required</w:t>
            </w:r>
          </w:p>
        </w:tc>
        <w:tc>
          <w:tcPr>
            <w:tcW w:w="6975" w:type="dxa"/>
            <w:tcBorders>
              <w:top w:val="nil"/>
              <w:left w:val="nil"/>
              <w:bottom w:val="nil"/>
              <w:right w:val="nil"/>
            </w:tcBorders>
            <w:shd w:val="clear" w:color="auto" w:fill="B4C6E7"/>
          </w:tcPr>
          <w:p w14:paraId="17BECC84" w14:textId="77777777" w:rsidR="00BB62F4" w:rsidRDefault="00000000">
            <w:pPr>
              <w:rPr>
                <w:b/>
                <w:bCs/>
              </w:rPr>
            </w:pPr>
            <w:r>
              <w:rPr>
                <w:b/>
                <w:bCs/>
              </w:rPr>
              <w:t>#2.</w:t>
            </w:r>
            <w:proofErr w:type="gramStart"/>
            <w:r>
              <w:rPr>
                <w:b/>
                <w:bCs/>
              </w:rPr>
              <w:t>2.a</w:t>
            </w:r>
            <w:proofErr w:type="gramEnd"/>
            <w:r>
              <w:rPr>
                <w:b/>
                <w:bCs/>
              </w:rPr>
              <w:t xml:space="preserve"> – Contract and license awards and transfers</w:t>
            </w:r>
          </w:p>
        </w:tc>
      </w:tr>
      <w:tr w:rsidR="00BB62F4" w14:paraId="7D529478" w14:textId="77777777">
        <w:trPr>
          <w:trHeight w:val="70"/>
        </w:trPr>
        <w:tc>
          <w:tcPr>
            <w:tcW w:w="1530" w:type="dxa"/>
            <w:tcBorders>
              <w:top w:val="nil"/>
              <w:left w:val="nil"/>
              <w:bottom w:val="single" w:sz="4" w:space="0" w:color="000000"/>
              <w:right w:val="nil"/>
            </w:tcBorders>
          </w:tcPr>
          <w:p w14:paraId="7EDDD9E3" w14:textId="77777777" w:rsidR="00BB62F4" w:rsidRDefault="00000000">
            <w:pPr>
              <w:rPr>
                <w:i/>
                <w:iCs/>
              </w:rPr>
            </w:pPr>
            <w:r>
              <w:rPr>
                <w:i/>
                <w:iCs/>
                <w:u w:val="single"/>
              </w:rPr>
              <w:t>Process</w:t>
            </w:r>
            <w:r>
              <w:rPr>
                <w:i/>
                <w:iCs/>
              </w:rPr>
              <w:t xml:space="preserve"> for license and contracts </w:t>
            </w:r>
            <w:r>
              <w:rPr>
                <w:b/>
                <w:bCs/>
                <w:i/>
                <w:iCs/>
              </w:rPr>
              <w:t>awards</w:t>
            </w:r>
            <w:r>
              <w:rPr>
                <w:i/>
                <w:iCs/>
              </w:rPr>
              <w:t xml:space="preserve"> (2.1.a.i-ii)</w:t>
            </w:r>
          </w:p>
        </w:tc>
        <w:tc>
          <w:tcPr>
            <w:tcW w:w="6975" w:type="dxa"/>
            <w:tcBorders>
              <w:top w:val="nil"/>
              <w:left w:val="nil"/>
              <w:bottom w:val="single" w:sz="4" w:space="0" w:color="000000"/>
              <w:right w:val="nil"/>
            </w:tcBorders>
          </w:tcPr>
          <w:p w14:paraId="1FFCCFC7" w14:textId="77777777" w:rsidR="00BB62F4" w:rsidRDefault="00000000">
            <w:pPr>
              <w:rPr>
                <w:color w:val="808080"/>
              </w:rPr>
            </w:pPr>
            <w:r>
              <w:rPr>
                <w:b/>
                <w:bCs/>
              </w:rPr>
              <w:t xml:space="preserve">Is there a publicly available description </w:t>
            </w:r>
            <w:r>
              <w:rPr>
                <w:b/>
                <w:bCs/>
                <w:highlight w:val="yellow"/>
              </w:rPr>
              <w:t xml:space="preserve">of the process </w:t>
            </w:r>
            <w:proofErr w:type="gramStart"/>
            <w:r>
              <w:rPr>
                <w:b/>
                <w:bCs/>
                <w:highlight w:val="yellow"/>
              </w:rPr>
              <w:t xml:space="preserve">for  </w:t>
            </w:r>
            <w:r>
              <w:rPr>
                <w:highlight w:val="yellow"/>
              </w:rPr>
              <w:t>Oil</w:t>
            </w:r>
            <w:proofErr w:type="gramEnd"/>
            <w:r>
              <w:rPr>
                <w:highlight w:val="yellow"/>
              </w:rPr>
              <w:t xml:space="preserve"> and </w:t>
            </w:r>
            <w:proofErr w:type="gramStart"/>
            <w:r>
              <w:rPr>
                <w:highlight w:val="yellow"/>
              </w:rPr>
              <w:t>gas</w:t>
            </w:r>
            <w:r>
              <w:t xml:space="preserve">  </w:t>
            </w:r>
            <w:r>
              <w:rPr>
                <w:u w:val="single"/>
              </w:rPr>
              <w:t>license</w:t>
            </w:r>
            <w:proofErr w:type="gramEnd"/>
            <w:r>
              <w:t xml:space="preserve">  and contract awards</w:t>
            </w:r>
            <w:r>
              <w:rPr>
                <w:b/>
                <w:bCs/>
              </w:rPr>
              <w:t xml:space="preserve">? </w:t>
            </w:r>
            <w:r>
              <w:rPr>
                <w:b/>
                <w:bCs/>
              </w:rPr>
              <w:br/>
            </w:r>
          </w:p>
          <w:p w14:paraId="40BBD7F0" w14:textId="77777777" w:rsidR="00BB62F4" w:rsidRDefault="00000000">
            <w:pPr>
              <w:numPr>
                <w:ilvl w:val="0"/>
                <w:numId w:val="1"/>
              </w:numPr>
              <w:pBdr>
                <w:top w:val="nil"/>
                <w:left w:val="nil"/>
                <w:bottom w:val="nil"/>
                <w:right w:val="nil"/>
                <w:between w:val="nil"/>
              </w:pBdr>
              <w:rPr>
                <w:color w:val="000000"/>
              </w:rPr>
            </w:pPr>
            <w:r>
              <w:rPr>
                <w:color w:val="000000"/>
              </w:rPr>
              <w:t xml:space="preserve">A description of the process for </w:t>
            </w:r>
            <w:r>
              <w:rPr>
                <w:color w:val="000000"/>
                <w:u w:val="single"/>
              </w:rPr>
              <w:t>license and/or contract</w:t>
            </w:r>
            <w:r>
              <w:rPr>
                <w:color w:val="000000"/>
              </w:rPr>
              <w:t xml:space="preserve"> </w:t>
            </w:r>
            <w:r>
              <w:rPr>
                <w:b/>
                <w:bCs/>
                <w:color w:val="000000"/>
              </w:rPr>
              <w:t>awards</w:t>
            </w:r>
          </w:p>
          <w:p w14:paraId="0157F971" w14:textId="77777777" w:rsidR="00BB62F4" w:rsidRDefault="00000000">
            <w:pPr>
              <w:pBdr>
                <w:top w:val="nil"/>
                <w:left w:val="nil"/>
                <w:bottom w:val="nil"/>
                <w:right w:val="nil"/>
                <w:between w:val="nil"/>
              </w:pBdr>
              <w:ind w:left="360"/>
              <w:rPr>
                <w:color w:val="000000"/>
                <w:shd w:val="clear" w:color="auto" w:fill="D9E2F3"/>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27092311"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this (source):</w:t>
            </w:r>
          </w:p>
          <w:p w14:paraId="249313CD" w14:textId="77777777" w:rsidR="00BB62F4" w:rsidRDefault="00000000">
            <w:pPr>
              <w:shd w:val="clear" w:color="auto" w:fill="FFFFFF"/>
              <w:spacing w:after="0"/>
              <w:ind w:left="360"/>
              <w:rPr>
                <w:rFonts w:ascii="Times New Roman" w:eastAsia="Times New Roman" w:hAnsi="Times New Roman" w:cs="Times New Roman"/>
                <w:sz w:val="24"/>
                <w:szCs w:val="24"/>
              </w:rPr>
            </w:pPr>
            <w:r>
              <w:rPr>
                <w:rFonts w:ascii="EB Garamond" w:eastAsia="EB Garamond" w:hAnsi="EB Garamond" w:cs="EB Garamond"/>
                <w:color w:val="000000"/>
              </w:rPr>
              <w:t>Systematic disclosures: </w:t>
            </w:r>
          </w:p>
          <w:p w14:paraId="396B6F89" w14:textId="77777777" w:rsidR="00BB62F4" w:rsidRDefault="00000000">
            <w:pPr>
              <w:shd w:val="clear" w:color="auto" w:fill="FFFFFF"/>
              <w:spacing w:before="0" w:after="0"/>
              <w:ind w:left="360"/>
              <w:rPr>
                <w:rFonts w:ascii="Times New Roman" w:eastAsia="Times New Roman" w:hAnsi="Times New Roman" w:cs="Times New Roman"/>
                <w:sz w:val="24"/>
                <w:szCs w:val="24"/>
              </w:rPr>
            </w:pPr>
            <w:r>
              <w:rPr>
                <w:rFonts w:ascii="EB Garamond" w:eastAsia="EB Garamond" w:hAnsi="EB Garamond" w:cs="EB Garamond"/>
                <w:color w:val="0A0A0A"/>
                <w:highlight w:val="white"/>
              </w:rPr>
              <w:t>(1</w:t>
            </w:r>
            <w:hyperlink r:id="rId33">
              <w:r>
                <w:rPr>
                  <w:rFonts w:ascii="EB Garamond" w:eastAsia="EB Garamond" w:hAnsi="EB Garamond" w:cs="EB Garamond"/>
                  <w:color w:val="0000FF"/>
                  <w:highlight w:val="white"/>
                  <w:u w:val="single"/>
                </w:rPr>
                <w:t>) PIA 2021</w:t>
              </w:r>
            </w:hyperlink>
            <w:r>
              <w:rPr>
                <w:rFonts w:ascii="EB Garamond" w:eastAsia="EB Garamond" w:hAnsi="EB Garamond" w:cs="EB Garamond"/>
                <w:color w:val="0A0A0A"/>
                <w:highlight w:val="white"/>
              </w:rPr>
              <w:t xml:space="preserve"> Section 74. {br2025.nuprc.gov.ng </w:t>
            </w:r>
            <w:hyperlink r:id="rId34">
              <w:r>
                <w:rPr>
                  <w:rFonts w:ascii="EB Garamond" w:eastAsia="EB Garamond" w:hAnsi="EB Garamond" w:cs="EB Garamond"/>
                  <w:color w:val="0000FF"/>
                  <w:highlight w:val="white"/>
                  <w:u w:val="single"/>
                </w:rPr>
                <w:t>https://br2025.nuprc.gov.ng/faq/</w:t>
              </w:r>
            </w:hyperlink>
            <w:r>
              <w:rPr>
                <w:rFonts w:ascii="EB Garamond" w:eastAsia="EB Garamond" w:hAnsi="EB Garamond" w:cs="EB Garamond"/>
                <w:color w:val="0A0A0A"/>
                <w:highlight w:val="white"/>
              </w:rPr>
              <w:t>}.</w:t>
            </w:r>
          </w:p>
          <w:p w14:paraId="69A2A49C" w14:textId="77777777" w:rsidR="00BB62F4" w:rsidRDefault="00000000">
            <w:pPr>
              <w:shd w:val="clear" w:color="auto" w:fill="FFFFFF"/>
              <w:spacing w:before="0"/>
              <w:ind w:left="360"/>
              <w:rPr>
                <w:rFonts w:ascii="Times New Roman" w:eastAsia="Times New Roman" w:hAnsi="Times New Roman" w:cs="Times New Roman"/>
                <w:sz w:val="24"/>
                <w:szCs w:val="24"/>
              </w:rPr>
            </w:pPr>
            <w:r>
              <w:rPr>
                <w:rFonts w:ascii="EB Garamond" w:eastAsia="EB Garamond" w:hAnsi="EB Garamond" w:cs="EB Garamond"/>
                <w:color w:val="0A0A0A"/>
                <w:highlight w:val="white"/>
              </w:rPr>
              <w:t>(2)</w:t>
            </w:r>
            <w:hyperlink r:id="rId35">
              <w:r>
                <w:rPr>
                  <w:rFonts w:ascii="EB Garamond" w:eastAsia="EB Garamond" w:hAnsi="EB Garamond" w:cs="EB Garamond"/>
                  <w:color w:val="0000FF"/>
                  <w:highlight w:val="white"/>
                  <w:u w:val="single"/>
                </w:rPr>
                <w:t>https://ogisp.nuprc.gov.ng/Content/ApplicationGuideLines/OGISPGUIDELINE2024.pdf</w:t>
              </w:r>
            </w:hyperlink>
          </w:p>
          <w:p w14:paraId="1F91E1EB" w14:textId="77777777" w:rsidR="00BB62F4" w:rsidRDefault="00BB62F4">
            <w:pPr>
              <w:pBdr>
                <w:top w:val="nil"/>
                <w:left w:val="nil"/>
                <w:bottom w:val="nil"/>
                <w:right w:val="nil"/>
                <w:between w:val="nil"/>
              </w:pBdr>
              <w:shd w:val="clear" w:color="auto" w:fill="FFFFFF"/>
              <w:ind w:left="360"/>
              <w:rPr>
                <w:b/>
                <w:bCs/>
                <w:i/>
                <w:iCs/>
                <w:color w:val="000000"/>
              </w:rPr>
            </w:pPr>
          </w:p>
          <w:p w14:paraId="3A94C7C4" w14:textId="77777777" w:rsidR="00BB62F4" w:rsidRDefault="00000000">
            <w:pPr>
              <w:pBdr>
                <w:top w:val="nil"/>
                <w:left w:val="nil"/>
                <w:bottom w:val="nil"/>
                <w:right w:val="nil"/>
                <w:between w:val="nil"/>
              </w:pBdr>
              <w:shd w:val="clear" w:color="auto" w:fill="FFFFFF"/>
              <w:ind w:left="360"/>
              <w:rPr>
                <w:color w:val="000000"/>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p>
          <w:p w14:paraId="78C08A68" w14:textId="77777777" w:rsidR="00BB62F4" w:rsidRDefault="00000000">
            <w:pPr>
              <w:pBdr>
                <w:top w:val="nil"/>
                <w:left w:val="nil"/>
                <w:bottom w:val="nil"/>
                <w:right w:val="nil"/>
                <w:between w:val="nil"/>
              </w:pBdr>
              <w:shd w:val="clear" w:color="auto" w:fill="FFFFFF"/>
              <w:ind w:left="360"/>
              <w:rPr>
                <w:rFonts w:ascii="Arial" w:eastAsia="Arial" w:hAnsi="Arial" w:cs="Arial"/>
                <w:color w:val="0A0A0A"/>
                <w:highlight w:val="white"/>
              </w:rPr>
            </w:pPr>
            <w:r>
              <w:rPr>
                <w:color w:val="000000"/>
              </w:rPr>
              <w:t>AND / OR</w:t>
            </w:r>
            <w:r>
              <w:rPr>
                <w:rFonts w:ascii="Arial" w:eastAsia="Arial" w:hAnsi="Arial" w:cs="Arial"/>
                <w:color w:val="0A0A0A"/>
                <w:highlight w:val="white"/>
              </w:rPr>
              <w:t xml:space="preserve"> </w:t>
            </w:r>
          </w:p>
          <w:p w14:paraId="0D8AC0AE" w14:textId="77777777" w:rsidR="00BB62F4" w:rsidRDefault="00000000">
            <w:pPr>
              <w:pBdr>
                <w:top w:val="nil"/>
                <w:left w:val="nil"/>
                <w:bottom w:val="nil"/>
                <w:right w:val="nil"/>
                <w:between w:val="nil"/>
              </w:pBdr>
              <w:rPr>
                <w:color w:val="000000"/>
                <w:shd w:val="clear" w:color="auto" w:fill="D9E2F3"/>
              </w:rPr>
            </w:pPr>
            <w:r>
              <w:rPr>
                <w:color w:val="000000"/>
              </w:rPr>
              <w:t xml:space="preserve">Other sources: </w:t>
            </w:r>
            <w:r>
              <w:rPr>
                <w:color w:val="000000"/>
                <w:shd w:val="clear" w:color="auto" w:fill="D9E2F3"/>
              </w:rPr>
              <w:t>EITI Report (year and page number), EITI website etc</w:t>
            </w:r>
          </w:p>
          <w:p w14:paraId="1F0E814B" w14:textId="77777777" w:rsidR="00BB62F4" w:rsidRDefault="00000000">
            <w:pPr>
              <w:pBdr>
                <w:top w:val="nil"/>
                <w:left w:val="nil"/>
                <w:bottom w:val="nil"/>
                <w:right w:val="nil"/>
                <w:between w:val="nil"/>
              </w:pBdr>
              <w:rPr>
                <w:color w:val="000000"/>
                <w:shd w:val="clear" w:color="auto" w:fill="D9E2F3"/>
              </w:rPr>
            </w:pPr>
            <w:r>
              <w:rPr>
                <w:color w:val="000000"/>
                <w:shd w:val="clear" w:color="auto" w:fill="D9E2F3"/>
              </w:rPr>
              <w:lastRenderedPageBreak/>
              <w:t>NEITI 2023 Oil and Gas Industry Audit Report, Chapter 2, page 27 -28, NEITI Oil and Gas 2023 Contextual Information. (</w:t>
            </w:r>
            <w:hyperlink r:id="rId36">
              <w:r>
                <w:rPr>
                  <w:color w:val="0000FF"/>
                  <w:u w:val="single"/>
                  <w:shd w:val="clear" w:color="auto" w:fill="D9E2F3"/>
                </w:rPr>
                <w:t>https://neiti.gov.ng/audits/oil-and-gas</w:t>
              </w:r>
            </w:hyperlink>
            <w:r>
              <w:rPr>
                <w:color w:val="000000"/>
                <w:shd w:val="clear" w:color="auto" w:fill="D9E2F3"/>
              </w:rPr>
              <w:t>).</w:t>
            </w:r>
          </w:p>
          <w:p w14:paraId="0A82E8ED" w14:textId="77777777" w:rsidR="00BB62F4" w:rsidRDefault="00000000">
            <w:pPr>
              <w:numPr>
                <w:ilvl w:val="0"/>
                <w:numId w:val="1"/>
              </w:numPr>
              <w:pBdr>
                <w:top w:val="nil"/>
                <w:left w:val="nil"/>
                <w:bottom w:val="nil"/>
                <w:right w:val="nil"/>
                <w:between w:val="nil"/>
              </w:pBdr>
              <w:rPr>
                <w:shd w:val="clear" w:color="auto" w:fill="D9E2F3"/>
              </w:rPr>
            </w:pPr>
            <w:r>
              <w:rPr>
                <w:rFonts w:ascii="EB Garamond" w:eastAsia="EB Garamond" w:hAnsi="EB Garamond" w:cs="EB Garamond"/>
                <w:color w:val="000000"/>
                <w:shd w:val="clear" w:color="auto" w:fill="D9E2F3"/>
              </w:rPr>
              <w:t xml:space="preserve">NEITI Website - </w:t>
            </w:r>
            <w:hyperlink r:id="rId37">
              <w:r>
                <w:rPr>
                  <w:rFonts w:ascii="EB Garamond" w:eastAsia="EB Garamond" w:hAnsi="EB Garamond" w:cs="EB Garamond"/>
                  <w:color w:val="0000FF"/>
                  <w:u w:val="single"/>
                  <w:shd w:val="clear" w:color="auto" w:fill="D9E2F3"/>
                </w:rPr>
                <w:t>Extractive Value Chain-Legal and Institutional Framework, Contracts and Licenses-Licensing, Contract and Disclosur</w:t>
              </w:r>
            </w:hyperlink>
            <w:r>
              <w:rPr>
                <w:shd w:val="clear" w:color="auto" w:fill="D9E2F3"/>
              </w:rPr>
              <w:t>e</w:t>
            </w:r>
          </w:p>
          <w:p w14:paraId="5B2E74EF" w14:textId="77777777" w:rsidR="00BB62F4" w:rsidRDefault="00000000">
            <w:pPr>
              <w:numPr>
                <w:ilvl w:val="0"/>
                <w:numId w:val="1"/>
              </w:numPr>
              <w:pBdr>
                <w:top w:val="nil"/>
                <w:left w:val="nil"/>
                <w:bottom w:val="nil"/>
                <w:right w:val="nil"/>
                <w:between w:val="nil"/>
              </w:pBdr>
              <w:rPr>
                <w:color w:val="000000"/>
              </w:rPr>
            </w:pPr>
            <w:r>
              <w:rPr>
                <w:color w:val="000000"/>
              </w:rPr>
              <w:t xml:space="preserve">The technical and financial criteria used for </w:t>
            </w:r>
            <w:r>
              <w:rPr>
                <w:b/>
                <w:bCs/>
                <w:color w:val="000000"/>
              </w:rPr>
              <w:t>awarding</w:t>
            </w:r>
            <w:r>
              <w:rPr>
                <w:color w:val="000000"/>
              </w:rPr>
              <w:t xml:space="preserve"> the </w:t>
            </w:r>
            <w:r>
              <w:rPr>
                <w:color w:val="000000"/>
                <w:u w:val="single"/>
              </w:rPr>
              <w:t>license</w:t>
            </w:r>
            <w:r>
              <w:rPr>
                <w:color w:val="000000"/>
              </w:rPr>
              <w:t>(s) and/or contracts</w:t>
            </w:r>
          </w:p>
          <w:p w14:paraId="2048CE71" w14:textId="77777777" w:rsidR="00BB62F4" w:rsidRDefault="00000000">
            <w:pPr>
              <w:pBdr>
                <w:top w:val="nil"/>
                <w:left w:val="nil"/>
                <w:bottom w:val="nil"/>
                <w:right w:val="nil"/>
                <w:between w:val="nil"/>
              </w:pBdr>
              <w:ind w:left="3142" w:hanging="2782"/>
              <w:rPr>
                <w:color w:val="000000"/>
                <w:shd w:val="clear" w:color="auto" w:fill="D9E2F3"/>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 xml:space="preserve">No                         </w:t>
            </w:r>
            <w:r>
              <w:rPr>
                <w:rFonts w:ascii="MS Gothic" w:eastAsia="MS Gothic" w:hAnsi="MS Gothic" w:cs="MS Gothic"/>
                <w:color w:val="000000"/>
              </w:rPr>
              <w:t xml:space="preserve">☐ </w:t>
            </w:r>
            <w:r>
              <w:rPr>
                <w:rFonts w:ascii="EB Garamond" w:eastAsia="EB Garamond" w:hAnsi="EB Garamond" w:cs="EB Garamond"/>
                <w:color w:val="000000"/>
                <w:shd w:val="clear" w:color="auto" w:fill="D9E2F3"/>
              </w:rPr>
              <w:t xml:space="preserve">There are financial and technical criteria for the </w:t>
            </w:r>
            <w:proofErr w:type="gramStart"/>
            <w:r>
              <w:rPr>
                <w:rFonts w:ascii="EB Garamond" w:eastAsia="EB Garamond" w:hAnsi="EB Garamond" w:cs="EB Garamond"/>
                <w:color w:val="000000"/>
                <w:shd w:val="clear" w:color="auto" w:fill="D9E2F3"/>
              </w:rPr>
              <w:t>award  of</w:t>
            </w:r>
            <w:proofErr w:type="gramEnd"/>
            <w:r>
              <w:rPr>
                <w:rFonts w:ascii="EB Garamond" w:eastAsia="EB Garamond" w:hAnsi="EB Garamond" w:cs="EB Garamond"/>
                <w:color w:val="000000"/>
                <w:shd w:val="clear" w:color="auto" w:fill="D9E2F3"/>
              </w:rPr>
              <w:t xml:space="preserve"> licenses and/or contracts that are not publicly disclosed by the NUPRC, but reported via EITI Reporting </w:t>
            </w:r>
            <w:hyperlink r:id="rId38">
              <w:r>
                <w:rPr>
                  <w:rFonts w:ascii="EB Garamond" w:eastAsia="EB Garamond" w:hAnsi="EB Garamond" w:cs="EB Garamond"/>
                  <w:color w:val="1155CC"/>
                  <w:u w:val="single"/>
                  <w:shd w:val="clear" w:color="auto" w:fill="D9E2F3"/>
                </w:rPr>
                <w:t>2022-2024 mini bid &amp; licensing round conducted by the Nigerian upstream petroleum regulatory commission</w:t>
              </w:r>
            </w:hyperlink>
          </w:p>
          <w:p w14:paraId="242481D2" w14:textId="77777777" w:rsidR="00BB62F4" w:rsidRDefault="00000000">
            <w:pPr>
              <w:pBdr>
                <w:top w:val="nil"/>
                <w:left w:val="nil"/>
                <w:bottom w:val="nil"/>
                <w:right w:val="nil"/>
                <w:between w:val="nil"/>
              </w:pBdr>
              <w:shd w:val="clear" w:color="auto" w:fill="FFFFFF"/>
              <w:ind w:left="360"/>
              <w:rPr>
                <w:color w:val="000000"/>
              </w:rPr>
            </w:pPr>
            <w:r>
              <w:rPr>
                <w:b/>
                <w:bCs/>
                <w:i/>
                <w:iCs/>
                <w:color w:val="000000"/>
              </w:rPr>
              <w:t xml:space="preserve">Where to find this (source): </w:t>
            </w:r>
            <w:r>
              <w:rPr>
                <w:color w:val="000000"/>
              </w:rPr>
              <w:t xml:space="preserve">License and contracts criteria for oil and gas under the </w:t>
            </w:r>
            <w:hyperlink r:id="rId39">
              <w:r>
                <w:rPr>
                  <w:color w:val="0000FF"/>
                  <w:u w:val="single"/>
                </w:rPr>
                <w:t>PIA 2021</w:t>
              </w:r>
            </w:hyperlink>
            <w:r>
              <w:rPr>
                <w:color w:val="000000"/>
              </w:rPr>
              <w:t xml:space="preserve"> include evidence of technical expertise, financial, compliance and environmental impact. This can be found in the </w:t>
            </w:r>
            <w:hyperlink r:id="rId40">
              <w:r>
                <w:rPr>
                  <w:color w:val="0000FF"/>
                  <w:u w:val="single"/>
                </w:rPr>
                <w:t>PIA 2021</w:t>
              </w:r>
            </w:hyperlink>
            <w:r>
              <w:rPr>
                <w:color w:val="000000"/>
              </w:rPr>
              <w:t xml:space="preserve"> Chapter 2- Administration (Part II -Administration Upstream Petroleum Operations and Environment-68). </w:t>
            </w:r>
            <w:hyperlink r:id="rId41">
              <w:r>
                <w:rPr>
                  <w:rFonts w:ascii="EB Garamond" w:eastAsia="EB Garamond" w:hAnsi="EB Garamond" w:cs="EB Garamond"/>
                  <w:color w:val="1155CC"/>
                  <w:u w:val="single"/>
                </w:rPr>
                <w:t>2022-2024 mini bid &amp; licensing round conducted by the Nigerian upstream petroleum regulatory commission</w:t>
              </w:r>
            </w:hyperlink>
          </w:p>
          <w:p w14:paraId="279514AE" w14:textId="77777777" w:rsidR="00BB62F4" w:rsidRDefault="00BB62F4">
            <w:pPr>
              <w:pBdr>
                <w:top w:val="nil"/>
                <w:left w:val="nil"/>
                <w:bottom w:val="nil"/>
                <w:right w:val="nil"/>
                <w:between w:val="nil"/>
              </w:pBdr>
              <w:shd w:val="clear" w:color="auto" w:fill="FFFFFF"/>
              <w:ind w:left="360"/>
              <w:rPr>
                <w:color w:val="000000"/>
              </w:rPr>
            </w:pPr>
          </w:p>
          <w:p w14:paraId="1D472451" w14:textId="77777777" w:rsidR="00BB62F4" w:rsidRDefault="00000000">
            <w:pPr>
              <w:pBdr>
                <w:top w:val="nil"/>
                <w:left w:val="nil"/>
                <w:bottom w:val="nil"/>
                <w:right w:val="nil"/>
                <w:between w:val="nil"/>
              </w:pBdr>
              <w:shd w:val="clear" w:color="auto" w:fill="FFFFFF"/>
              <w:ind w:left="360"/>
              <w:rPr>
                <w:color w:val="000000"/>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r>
              <w:rPr>
                <w:color w:val="000000"/>
              </w:rPr>
              <w:t xml:space="preserve"> </w:t>
            </w:r>
          </w:p>
          <w:p w14:paraId="4D48E761" w14:textId="77777777" w:rsidR="00BB62F4" w:rsidRDefault="00000000">
            <w:pPr>
              <w:pBdr>
                <w:top w:val="nil"/>
                <w:left w:val="nil"/>
                <w:bottom w:val="nil"/>
                <w:right w:val="nil"/>
                <w:between w:val="nil"/>
              </w:pBdr>
              <w:shd w:val="clear" w:color="auto" w:fill="FFFFFF"/>
              <w:ind w:left="360"/>
              <w:rPr>
                <w:color w:val="000000"/>
              </w:rPr>
            </w:pPr>
            <w:r>
              <w:rPr>
                <w:color w:val="000000"/>
              </w:rPr>
              <w:t>NUPRC official website (Guidelines):</w:t>
            </w:r>
          </w:p>
          <w:p w14:paraId="00E157AC" w14:textId="77777777" w:rsidR="00BB62F4" w:rsidRDefault="00000000">
            <w:pPr>
              <w:pBdr>
                <w:top w:val="nil"/>
                <w:left w:val="nil"/>
                <w:bottom w:val="nil"/>
                <w:right w:val="nil"/>
                <w:between w:val="nil"/>
              </w:pBdr>
              <w:shd w:val="clear" w:color="auto" w:fill="FFFFFF"/>
              <w:ind w:left="360"/>
              <w:rPr>
                <w:color w:val="000000"/>
              </w:rPr>
            </w:pPr>
            <w:r>
              <w:rPr>
                <w:color w:val="000000"/>
              </w:rPr>
              <w:t xml:space="preserve"> </w:t>
            </w:r>
            <w:hyperlink r:id="rId42">
              <w:r>
                <w:rPr>
                  <w:color w:val="1155CC"/>
                  <w:u w:val="single"/>
                  <w:shd w:val="clear" w:color="auto" w:fill="D9E2F3"/>
                </w:rPr>
                <w:t>https://www.nuprc.gov.ng/nuprc-guidelines/</w:t>
              </w:r>
            </w:hyperlink>
          </w:p>
          <w:p w14:paraId="5FED1662" w14:textId="77777777" w:rsidR="00BB62F4" w:rsidRDefault="00000000">
            <w:pPr>
              <w:pBdr>
                <w:top w:val="nil"/>
                <w:left w:val="nil"/>
                <w:bottom w:val="nil"/>
                <w:right w:val="nil"/>
                <w:between w:val="nil"/>
              </w:pBdr>
              <w:shd w:val="clear" w:color="auto" w:fill="FFFFFF"/>
              <w:ind w:left="360"/>
              <w:rPr>
                <w:color w:val="000000"/>
              </w:rPr>
            </w:pPr>
            <w:r>
              <w:rPr>
                <w:color w:val="000000"/>
              </w:rPr>
              <w:t>AND / OR</w:t>
            </w:r>
          </w:p>
          <w:p w14:paraId="25809096" w14:textId="77777777" w:rsidR="00BB62F4" w:rsidRDefault="00000000">
            <w:pPr>
              <w:pBdr>
                <w:top w:val="nil"/>
                <w:left w:val="nil"/>
                <w:bottom w:val="nil"/>
                <w:right w:val="nil"/>
                <w:between w:val="nil"/>
              </w:pBdr>
              <w:ind w:left="360"/>
              <w:rPr>
                <w:color w:val="000000"/>
                <w:shd w:val="clear" w:color="auto" w:fill="D9E2F3"/>
              </w:rPr>
            </w:pPr>
            <w:r>
              <w:rPr>
                <w:color w:val="000000"/>
              </w:rPr>
              <w:t xml:space="preserve">Other sources: </w:t>
            </w:r>
            <w:r>
              <w:rPr>
                <w:color w:val="000000"/>
                <w:shd w:val="clear" w:color="auto" w:fill="D9E2F3"/>
              </w:rPr>
              <w:t>EITI Report (year and page number), EITI website etc</w:t>
            </w:r>
          </w:p>
          <w:p w14:paraId="50378769" w14:textId="77777777" w:rsidR="00BB62F4" w:rsidRDefault="00000000">
            <w:pPr>
              <w:numPr>
                <w:ilvl w:val="0"/>
                <w:numId w:val="14"/>
              </w:numPr>
              <w:pBdr>
                <w:top w:val="nil"/>
                <w:left w:val="nil"/>
                <w:bottom w:val="nil"/>
                <w:right w:val="nil"/>
                <w:between w:val="nil"/>
              </w:pBdr>
              <w:rPr>
                <w:color w:val="000000"/>
              </w:rPr>
            </w:pPr>
            <w:hyperlink r:id="rId43">
              <w:r>
                <w:rPr>
                  <w:color w:val="0000FF"/>
                  <w:u w:val="single"/>
                  <w:shd w:val="clear" w:color="auto" w:fill="D9E2F3"/>
                </w:rPr>
                <w:t>NEITI 2023 OIL AND GAS CONTEXTUAL INFORMATION</w:t>
              </w:r>
            </w:hyperlink>
            <w:r>
              <w:rPr>
                <w:color w:val="000000"/>
                <w:shd w:val="clear" w:color="auto" w:fill="D9E2F3"/>
              </w:rPr>
              <w:t>, Chapter 4: page 58.</w:t>
            </w:r>
          </w:p>
        </w:tc>
      </w:tr>
      <w:tr w:rsidR="00BB62F4" w14:paraId="3A35E405" w14:textId="77777777">
        <w:tc>
          <w:tcPr>
            <w:tcW w:w="1530" w:type="dxa"/>
            <w:tcBorders>
              <w:top w:val="nil"/>
              <w:left w:val="nil"/>
              <w:bottom w:val="single" w:sz="4" w:space="0" w:color="000000"/>
              <w:right w:val="nil"/>
            </w:tcBorders>
          </w:tcPr>
          <w:p w14:paraId="6416AAD0" w14:textId="77777777" w:rsidR="00BB62F4" w:rsidRDefault="00000000">
            <w:pPr>
              <w:rPr>
                <w:i/>
                <w:iCs/>
              </w:rPr>
            </w:pPr>
            <w:r>
              <w:rPr>
                <w:i/>
                <w:iCs/>
                <w:u w:val="single"/>
              </w:rPr>
              <w:lastRenderedPageBreak/>
              <w:t>Identity</w:t>
            </w:r>
            <w:r>
              <w:rPr>
                <w:i/>
                <w:iCs/>
              </w:rPr>
              <w:t xml:space="preserve"> of </w:t>
            </w:r>
            <w:r>
              <w:rPr>
                <w:i/>
                <w:iCs/>
                <w:u w:val="single"/>
              </w:rPr>
              <w:t>license</w:t>
            </w:r>
            <w:r>
              <w:rPr>
                <w:i/>
                <w:iCs/>
              </w:rPr>
              <w:t xml:space="preserve"> </w:t>
            </w:r>
            <w:r>
              <w:rPr>
                <w:b/>
                <w:bCs/>
                <w:i/>
                <w:iCs/>
              </w:rPr>
              <w:t>award</w:t>
            </w:r>
            <w:r>
              <w:rPr>
                <w:i/>
                <w:iCs/>
              </w:rPr>
              <w:t xml:space="preserve"> recipients (2.1.a.iii)</w:t>
            </w:r>
          </w:p>
        </w:tc>
        <w:tc>
          <w:tcPr>
            <w:tcW w:w="6975" w:type="dxa"/>
            <w:tcBorders>
              <w:top w:val="nil"/>
              <w:left w:val="nil"/>
              <w:bottom w:val="single" w:sz="4" w:space="0" w:color="000000"/>
              <w:right w:val="nil"/>
            </w:tcBorders>
          </w:tcPr>
          <w:p w14:paraId="54A3EB11" w14:textId="77777777" w:rsidR="00BB62F4" w:rsidRDefault="00000000">
            <w:r>
              <w:rPr>
                <w:b/>
                <w:bCs/>
              </w:rPr>
              <w:t>Are the recipient</w:t>
            </w:r>
            <w:r>
              <w:t xml:space="preserve">(s) to whom the license has been awarded to, including consortium member(s), disclosed publicly? </w:t>
            </w:r>
            <w:r>
              <w:br/>
            </w:r>
            <w:r>
              <w:rPr>
                <w:color w:val="7F7F7F"/>
              </w:rPr>
              <w:t xml:space="preserve">Note: this requirement covers </w:t>
            </w:r>
            <w:r>
              <w:rPr>
                <w:color w:val="7F7F7F"/>
                <w:u w:val="single"/>
              </w:rPr>
              <w:t>all</w:t>
            </w:r>
            <w:r>
              <w:rPr>
                <w:color w:val="7F7F7F"/>
              </w:rPr>
              <w:t xml:space="preserve"> companies, not only material companies-</w:t>
            </w:r>
          </w:p>
          <w:p w14:paraId="2F7DCE88" w14:textId="77777777" w:rsidR="00BB62F4" w:rsidRDefault="00000000">
            <w:pPr>
              <w:pBdr>
                <w:top w:val="nil"/>
                <w:left w:val="nil"/>
                <w:bottom w:val="nil"/>
                <w:right w:val="nil"/>
                <w:between w:val="nil"/>
              </w:pBdr>
              <w:ind w:left="2150" w:hanging="1790"/>
              <w:rPr>
                <w:color w:val="000000"/>
              </w:rPr>
            </w:pP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proofErr w:type="gramStart"/>
            <w:r>
              <w:rPr>
                <w:color w:val="000000"/>
                <w:shd w:val="clear" w:color="auto" w:fill="D9E2F3"/>
              </w:rPr>
              <w:t xml:space="preserve">No  </w:t>
            </w:r>
            <w:r>
              <w:rPr>
                <w:rFonts w:ascii="MS Gothic" w:eastAsia="MS Gothic" w:hAnsi="MS Gothic" w:cs="MS Gothic"/>
                <w:color w:val="000000"/>
              </w:rPr>
              <w:t>☐</w:t>
            </w:r>
            <w:proofErr w:type="gramEnd"/>
            <w:r>
              <w:rPr>
                <w:rFonts w:ascii="MS Gothic" w:eastAsia="MS Gothic" w:hAnsi="MS Gothic" w:cs="MS Gothic"/>
                <w:color w:val="000000"/>
              </w:rPr>
              <w:t xml:space="preserve"> </w:t>
            </w:r>
            <w:r>
              <w:rPr>
                <w:color w:val="000000"/>
                <w:shd w:val="clear" w:color="auto" w:fill="D9E2F3"/>
              </w:rPr>
              <w:t>No licenses have been awarded in the period under review.</w:t>
            </w:r>
          </w:p>
          <w:p w14:paraId="08690BB4"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this (source):</w:t>
            </w:r>
          </w:p>
          <w:p w14:paraId="40F2B921" w14:textId="77777777" w:rsidR="00BB62F4" w:rsidRDefault="00000000">
            <w:pPr>
              <w:pBdr>
                <w:top w:val="nil"/>
                <w:left w:val="nil"/>
                <w:bottom w:val="nil"/>
                <w:right w:val="nil"/>
                <w:between w:val="nil"/>
              </w:pBdr>
              <w:shd w:val="clear" w:color="auto" w:fill="FFFFFF"/>
              <w:ind w:left="360"/>
              <w:rPr>
                <w:color w:val="0000FF"/>
                <w:u w:val="single"/>
                <w:shd w:val="clear" w:color="auto" w:fill="D9E2F3"/>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p>
          <w:p w14:paraId="3AB4FE6E" w14:textId="77777777" w:rsidR="00BB62F4" w:rsidRDefault="00000000">
            <w:pPr>
              <w:shd w:val="clear" w:color="auto" w:fill="FFFFFF"/>
              <w:spacing w:after="0"/>
              <w:ind w:left="360"/>
              <w:rPr>
                <w:rFonts w:ascii="Times New Roman" w:eastAsia="Times New Roman" w:hAnsi="Times New Roman" w:cs="Times New Roman"/>
                <w:sz w:val="24"/>
                <w:szCs w:val="24"/>
              </w:rPr>
            </w:pPr>
            <w:hyperlink r:id="rId44">
              <w:r>
                <w:rPr>
                  <w:rFonts w:ascii="EB Garamond" w:eastAsia="EB Garamond" w:hAnsi="EB Garamond" w:cs="EB Garamond"/>
                  <w:i/>
                  <w:iCs/>
                  <w:color w:val="1155CC"/>
                  <w:u w:val="single"/>
                </w:rPr>
                <w:t>https://nogabor.nuprc.gov.ng/</w:t>
              </w:r>
            </w:hyperlink>
          </w:p>
          <w:p w14:paraId="4C919AD3" w14:textId="77777777" w:rsidR="00BB62F4" w:rsidRDefault="00000000">
            <w:pPr>
              <w:shd w:val="clear" w:color="auto" w:fill="FFFFFF"/>
              <w:spacing w:before="0" w:after="0"/>
              <w:ind w:left="360"/>
              <w:rPr>
                <w:rFonts w:ascii="Times New Roman" w:eastAsia="Times New Roman" w:hAnsi="Times New Roman" w:cs="Times New Roman"/>
                <w:sz w:val="24"/>
                <w:szCs w:val="24"/>
              </w:rPr>
            </w:pPr>
            <w:hyperlink r:id="rId45">
              <w:r>
                <w:rPr>
                  <w:rFonts w:ascii="EB Garamond" w:eastAsia="EB Garamond" w:hAnsi="EB Garamond" w:cs="EB Garamond"/>
                  <w:i/>
                  <w:iCs/>
                  <w:color w:val="1155CC"/>
                  <w:u w:val="single"/>
                </w:rPr>
                <w:t>https://bor.cac.gov.ng/</w:t>
              </w:r>
            </w:hyperlink>
          </w:p>
          <w:p w14:paraId="08ED7AD4" w14:textId="77777777" w:rsidR="00BB62F4" w:rsidRDefault="00000000">
            <w:pPr>
              <w:shd w:val="clear" w:color="auto" w:fill="FFFFFF"/>
              <w:spacing w:before="0" w:after="0"/>
              <w:ind w:left="360"/>
              <w:rPr>
                <w:rFonts w:ascii="Times New Roman" w:eastAsia="Times New Roman" w:hAnsi="Times New Roman" w:cs="Times New Roman"/>
                <w:sz w:val="24"/>
                <w:szCs w:val="24"/>
              </w:rPr>
            </w:pPr>
            <w:hyperlink r:id="rId46">
              <w:r>
                <w:rPr>
                  <w:rFonts w:ascii="EB Garamond" w:eastAsia="EB Garamond" w:hAnsi="EB Garamond" w:cs="EB Garamond"/>
                  <w:i/>
                  <w:iCs/>
                  <w:color w:val="1155CC"/>
                  <w:u w:val="single"/>
                </w:rPr>
                <w:t>https://bo.neiti.gov.ng/</w:t>
              </w:r>
            </w:hyperlink>
            <w:r>
              <w:rPr>
                <w:rFonts w:ascii="EB Garamond" w:eastAsia="EB Garamond" w:hAnsi="EB Garamond" w:cs="EB Garamond"/>
                <w:i/>
                <w:iCs/>
                <w:color w:val="000000"/>
              </w:rPr>
              <w:t> </w:t>
            </w:r>
          </w:p>
          <w:p w14:paraId="198DD941" w14:textId="77777777" w:rsidR="00BB62F4" w:rsidRDefault="00000000">
            <w:pPr>
              <w:shd w:val="clear" w:color="auto" w:fill="FFFFFF"/>
              <w:spacing w:before="0" w:after="0"/>
              <w:ind w:left="360"/>
              <w:rPr>
                <w:rFonts w:ascii="Times New Roman" w:eastAsia="Times New Roman" w:hAnsi="Times New Roman" w:cs="Times New Roman"/>
                <w:sz w:val="24"/>
                <w:szCs w:val="24"/>
              </w:rPr>
            </w:pPr>
            <w:hyperlink r:id="rId47">
              <w:r>
                <w:rPr>
                  <w:rFonts w:ascii="EB Garamond" w:eastAsia="EB Garamond" w:hAnsi="EB Garamond" w:cs="EB Garamond"/>
                  <w:i/>
                  <w:iCs/>
                  <w:color w:val="1155CC"/>
                  <w:u w:val="single"/>
                </w:rPr>
                <w:t>CONCESSION – Nigerian Upstream Petroleum Regulatory Commission</w:t>
              </w:r>
            </w:hyperlink>
          </w:p>
          <w:p w14:paraId="71D45BF7" w14:textId="77777777" w:rsidR="00BB62F4" w:rsidRDefault="00000000">
            <w:pPr>
              <w:shd w:val="clear" w:color="auto" w:fill="FFFFFF"/>
              <w:spacing w:before="0" w:after="0"/>
              <w:ind w:left="360"/>
              <w:rPr>
                <w:rFonts w:ascii="Times New Roman" w:eastAsia="Times New Roman" w:hAnsi="Times New Roman" w:cs="Times New Roman"/>
                <w:sz w:val="24"/>
                <w:szCs w:val="24"/>
              </w:rPr>
            </w:pPr>
            <w:hyperlink r:id="rId48">
              <w:r>
                <w:rPr>
                  <w:rFonts w:ascii="EB Garamond" w:eastAsia="EB Garamond" w:hAnsi="EB Garamond" w:cs="EB Garamond"/>
                  <w:i/>
                  <w:iCs/>
                  <w:color w:val="1155CC"/>
                  <w:u w:val="single"/>
                </w:rPr>
                <w:t>LICENSES – Nigerian Upstream Petroleum Regulatory Commission</w:t>
              </w:r>
            </w:hyperlink>
            <w:r>
              <w:rPr>
                <w:rFonts w:ascii="EB Garamond" w:eastAsia="EB Garamond" w:hAnsi="EB Garamond" w:cs="EB Garamond"/>
                <w:i/>
                <w:iCs/>
                <w:color w:val="000000"/>
              </w:rPr>
              <w:t>·</w:t>
            </w:r>
            <w:r>
              <w:rPr>
                <w:rFonts w:ascii="EB Garamond" w:eastAsia="EB Garamond" w:hAnsi="EB Garamond" w:cs="EB Garamond"/>
                <w:i/>
                <w:iCs/>
                <w:color w:val="000000"/>
                <w:sz w:val="14"/>
                <w:szCs w:val="14"/>
              </w:rPr>
              <w:t>    </w:t>
            </w:r>
          </w:p>
          <w:p w14:paraId="7AD90C43" w14:textId="77777777" w:rsidR="00BB62F4" w:rsidRDefault="00000000">
            <w:pPr>
              <w:shd w:val="clear" w:color="auto" w:fill="FFFFFF"/>
              <w:spacing w:before="0" w:after="0"/>
              <w:ind w:left="360"/>
              <w:rPr>
                <w:rFonts w:ascii="Times New Roman" w:eastAsia="Times New Roman" w:hAnsi="Times New Roman" w:cs="Times New Roman"/>
                <w:sz w:val="24"/>
                <w:szCs w:val="24"/>
              </w:rPr>
            </w:pPr>
            <w:hyperlink r:id="rId49">
              <w:r>
                <w:rPr>
                  <w:rFonts w:ascii="EB Garamond" w:eastAsia="EB Garamond" w:hAnsi="EB Garamond" w:cs="EB Garamond"/>
                  <w:i/>
                  <w:iCs/>
                  <w:color w:val="1155CC"/>
                  <w:u w:val="single"/>
                </w:rPr>
                <w:t>NUPRC-Concession-Situation-Final-Merged-@-1st-March-2026-v.1.pdf</w:t>
              </w:r>
            </w:hyperlink>
          </w:p>
          <w:p w14:paraId="73B85827" w14:textId="77777777" w:rsidR="00BB62F4" w:rsidRDefault="00000000">
            <w:pPr>
              <w:shd w:val="clear" w:color="auto" w:fill="FFFFFF"/>
              <w:spacing w:before="0"/>
              <w:ind w:left="360"/>
              <w:rPr>
                <w:rFonts w:ascii="Times New Roman" w:eastAsia="Times New Roman" w:hAnsi="Times New Roman" w:cs="Times New Roman"/>
                <w:sz w:val="24"/>
                <w:szCs w:val="24"/>
              </w:rPr>
            </w:pPr>
            <w:hyperlink r:id="rId50">
              <w:r>
                <w:rPr>
                  <w:rFonts w:ascii="EB Garamond" w:eastAsia="EB Garamond" w:hAnsi="EB Garamond" w:cs="EB Garamond"/>
                  <w:i/>
                  <w:iCs/>
                  <w:color w:val="1155CC"/>
                  <w:u w:val="single"/>
                </w:rPr>
                <w:t>concessionSituation_01_12_2022.xlsx</w:t>
              </w:r>
            </w:hyperlink>
          </w:p>
          <w:p w14:paraId="021ACD14" w14:textId="77777777" w:rsidR="00BB62F4" w:rsidRDefault="00BB62F4">
            <w:pPr>
              <w:pBdr>
                <w:top w:val="nil"/>
                <w:left w:val="nil"/>
                <w:bottom w:val="nil"/>
                <w:right w:val="nil"/>
                <w:between w:val="nil"/>
              </w:pBdr>
              <w:shd w:val="clear" w:color="auto" w:fill="FFFFFF"/>
              <w:ind w:left="360"/>
              <w:rPr>
                <w:color w:val="0000FF"/>
                <w:u w:val="single"/>
                <w:shd w:val="clear" w:color="auto" w:fill="D9E2F3"/>
              </w:rPr>
            </w:pPr>
          </w:p>
          <w:p w14:paraId="593A23F3" w14:textId="77777777" w:rsidR="00BB62F4" w:rsidRDefault="00BB62F4">
            <w:pPr>
              <w:pBdr>
                <w:top w:val="nil"/>
                <w:left w:val="nil"/>
                <w:bottom w:val="nil"/>
                <w:right w:val="nil"/>
                <w:between w:val="nil"/>
              </w:pBdr>
              <w:shd w:val="clear" w:color="auto" w:fill="FFFFFF"/>
              <w:ind w:left="360"/>
              <w:rPr>
                <w:color w:val="000000"/>
              </w:rPr>
            </w:pPr>
          </w:p>
          <w:p w14:paraId="2681F726" w14:textId="77777777" w:rsidR="00BB62F4" w:rsidRDefault="00000000">
            <w:pPr>
              <w:pBdr>
                <w:top w:val="nil"/>
                <w:left w:val="nil"/>
                <w:bottom w:val="nil"/>
                <w:right w:val="nil"/>
                <w:between w:val="nil"/>
              </w:pBdr>
              <w:shd w:val="clear" w:color="auto" w:fill="FFFFFF"/>
              <w:ind w:left="360"/>
              <w:rPr>
                <w:color w:val="000000"/>
              </w:rPr>
            </w:pPr>
            <w:r>
              <w:rPr>
                <w:color w:val="000000"/>
              </w:rPr>
              <w:t>AND / OR</w:t>
            </w:r>
          </w:p>
          <w:p w14:paraId="62F33D6D" w14:textId="77777777" w:rsidR="00BB62F4" w:rsidRDefault="00000000">
            <w:pPr>
              <w:ind w:left="368"/>
              <w:rPr>
                <w:shd w:val="clear" w:color="auto" w:fill="D9E2F3"/>
              </w:rPr>
            </w:pPr>
            <w:r>
              <w:t xml:space="preserve">Other sources: </w:t>
            </w:r>
            <w:r>
              <w:rPr>
                <w:shd w:val="clear" w:color="auto" w:fill="D9E2F3"/>
              </w:rPr>
              <w:t>EITI Report (year and page number), EITI website etc</w:t>
            </w:r>
          </w:p>
          <w:p w14:paraId="28886986" w14:textId="77777777" w:rsidR="00BB62F4" w:rsidRDefault="00000000">
            <w:pPr>
              <w:ind w:left="368"/>
              <w:rPr>
                <w:rFonts w:ascii="Times New Roman" w:eastAsia="Times New Roman" w:hAnsi="Times New Roman" w:cs="Times New Roman"/>
                <w:sz w:val="24"/>
                <w:szCs w:val="24"/>
              </w:rPr>
            </w:pPr>
            <w:r>
              <w:rPr>
                <w:rFonts w:ascii="EB Garamond" w:eastAsia="EB Garamond" w:hAnsi="EB Garamond" w:cs="EB Garamond"/>
                <w:color w:val="000000"/>
                <w:shd w:val="clear" w:color="auto" w:fill="EDF1F9"/>
              </w:rPr>
              <w:t xml:space="preserve">NEITI 2023 OGA Report, Section 2.4 page </w:t>
            </w:r>
            <w:proofErr w:type="gramStart"/>
            <w:r>
              <w:rPr>
                <w:rFonts w:ascii="EB Garamond" w:eastAsia="EB Garamond" w:hAnsi="EB Garamond" w:cs="EB Garamond"/>
                <w:color w:val="000000"/>
                <w:shd w:val="clear" w:color="auto" w:fill="EDF1F9"/>
              </w:rPr>
              <w:t>29 )</w:t>
            </w:r>
            <w:proofErr w:type="gramEnd"/>
            <w:r>
              <w:rPr>
                <w:rFonts w:ascii="EB Garamond" w:eastAsia="EB Garamond" w:hAnsi="EB Garamond" w:cs="EB Garamond"/>
                <w:color w:val="000000"/>
                <w:shd w:val="clear" w:color="auto" w:fill="EDF1F9"/>
              </w:rPr>
              <w:t xml:space="preserve"> available at </w:t>
            </w:r>
            <w:hyperlink r:id="rId51">
              <w:r>
                <w:rPr>
                  <w:rFonts w:ascii="EB Garamond" w:eastAsia="EB Garamond" w:hAnsi="EB Garamond" w:cs="EB Garamond"/>
                  <w:color w:val="1155CC"/>
                  <w:u w:val="single"/>
                  <w:shd w:val="clear" w:color="auto" w:fill="EDF1F9"/>
                </w:rPr>
                <w:t>Audits | NEIT</w:t>
              </w:r>
            </w:hyperlink>
            <w:hyperlink r:id="rId52">
              <w:r>
                <w:rPr>
                  <w:rFonts w:ascii="EB Garamond" w:eastAsia="EB Garamond" w:hAnsi="EB Garamond" w:cs="EB Garamond"/>
                  <w:color w:val="1155CC"/>
                  <w:u w:val="single"/>
                  <w:shd w:val="clear" w:color="auto" w:fill="D9E2F3"/>
                </w:rPr>
                <w:t>I</w:t>
              </w:r>
            </w:hyperlink>
          </w:p>
          <w:p w14:paraId="1444F4E0" w14:textId="77777777" w:rsidR="00BB62F4" w:rsidRDefault="00BB62F4">
            <w:pPr>
              <w:ind w:left="368"/>
              <w:rPr>
                <w:shd w:val="clear" w:color="auto" w:fill="D9E2F3"/>
              </w:rPr>
            </w:pPr>
          </w:p>
          <w:p w14:paraId="3472FBE2" w14:textId="77777777" w:rsidR="00BB62F4" w:rsidRDefault="00BB62F4">
            <w:pPr>
              <w:pBdr>
                <w:top w:val="nil"/>
                <w:left w:val="nil"/>
                <w:bottom w:val="nil"/>
                <w:right w:val="nil"/>
                <w:between w:val="nil"/>
              </w:pBdr>
              <w:spacing w:before="0" w:after="0"/>
              <w:ind w:left="1080"/>
              <w:jc w:val="both"/>
              <w:rPr>
                <w:b/>
                <w:bCs/>
                <w:color w:val="000000"/>
              </w:rPr>
            </w:pPr>
          </w:p>
        </w:tc>
      </w:tr>
      <w:tr w:rsidR="00BB62F4" w14:paraId="6A1CCC49" w14:textId="77777777">
        <w:tc>
          <w:tcPr>
            <w:tcW w:w="1530" w:type="dxa"/>
            <w:tcBorders>
              <w:top w:val="nil"/>
              <w:left w:val="nil"/>
              <w:bottom w:val="single" w:sz="4" w:space="0" w:color="000000"/>
              <w:right w:val="nil"/>
            </w:tcBorders>
          </w:tcPr>
          <w:p w14:paraId="40796244" w14:textId="77777777" w:rsidR="00BB62F4" w:rsidRDefault="00000000">
            <w:pPr>
              <w:rPr>
                <w:i/>
                <w:iCs/>
              </w:rPr>
            </w:pPr>
            <w:r>
              <w:rPr>
                <w:i/>
                <w:iCs/>
                <w:u w:val="single"/>
              </w:rPr>
              <w:lastRenderedPageBreak/>
              <w:t xml:space="preserve">Process of </w:t>
            </w:r>
            <w:r>
              <w:rPr>
                <w:b/>
                <w:bCs/>
                <w:i/>
                <w:iCs/>
                <w:u w:val="single"/>
              </w:rPr>
              <w:t>transfer</w:t>
            </w:r>
            <w:r>
              <w:rPr>
                <w:i/>
                <w:iCs/>
              </w:rPr>
              <w:t xml:space="preserve"> of licenses (2.2.a.i-ii)</w:t>
            </w:r>
          </w:p>
          <w:p w14:paraId="0BBBAB5D" w14:textId="77777777" w:rsidR="00BB62F4" w:rsidRDefault="00BB62F4">
            <w:pPr>
              <w:rPr>
                <w:i/>
                <w:iCs/>
              </w:rPr>
            </w:pPr>
          </w:p>
        </w:tc>
        <w:tc>
          <w:tcPr>
            <w:tcW w:w="6975" w:type="dxa"/>
            <w:tcBorders>
              <w:top w:val="nil"/>
              <w:left w:val="nil"/>
              <w:bottom w:val="single" w:sz="4" w:space="0" w:color="000000"/>
              <w:right w:val="nil"/>
            </w:tcBorders>
          </w:tcPr>
          <w:p w14:paraId="39A9CE66" w14:textId="77777777" w:rsidR="00BB62F4" w:rsidRDefault="00000000">
            <w:pPr>
              <w:rPr>
                <w:color w:val="808080"/>
              </w:rPr>
            </w:pPr>
            <w:r>
              <w:rPr>
                <w:b/>
                <w:bCs/>
              </w:rPr>
              <w:t xml:space="preserve">Is there a publicly available description </w:t>
            </w:r>
            <w:r>
              <w:rPr>
                <w:b/>
                <w:bCs/>
                <w:highlight w:val="yellow"/>
              </w:rPr>
              <w:t xml:space="preserve">of the </w:t>
            </w:r>
            <w:r>
              <w:rPr>
                <w:highlight w:val="yellow"/>
              </w:rPr>
              <w:t>Oil and gas</w:t>
            </w:r>
            <w:r>
              <w:rPr>
                <w:b/>
                <w:bCs/>
                <w:highlight w:val="yellow"/>
              </w:rPr>
              <w:t xml:space="preserve"> </w:t>
            </w:r>
            <w:r>
              <w:rPr>
                <w:highlight w:val="yellow"/>
              </w:rPr>
              <w:t>industry</w:t>
            </w:r>
            <w:r>
              <w:rPr>
                <w:b/>
                <w:bCs/>
              </w:rPr>
              <w:t xml:space="preserve"> contract and license </w:t>
            </w:r>
            <w:r>
              <w:rPr>
                <w:b/>
                <w:bCs/>
                <w:u w:val="single"/>
              </w:rPr>
              <w:t>transfers</w:t>
            </w:r>
            <w:r>
              <w:rPr>
                <w:b/>
                <w:bCs/>
              </w:rPr>
              <w:t xml:space="preserve"> for the period under review? </w:t>
            </w:r>
            <w:r>
              <w:rPr>
                <w:color w:val="808080"/>
              </w:rPr>
              <w:t>Please note that information should cover companies falling below the materiality threshold, e.g. non-EITI reporting companies.</w:t>
            </w:r>
          </w:p>
          <w:p w14:paraId="42600110" w14:textId="77777777" w:rsidR="00BB62F4" w:rsidRDefault="00000000">
            <w:pPr>
              <w:numPr>
                <w:ilvl w:val="0"/>
                <w:numId w:val="15"/>
              </w:numPr>
              <w:pBdr>
                <w:top w:val="nil"/>
                <w:left w:val="nil"/>
                <w:bottom w:val="nil"/>
                <w:right w:val="nil"/>
                <w:between w:val="nil"/>
              </w:pBdr>
              <w:rPr>
                <w:color w:val="000000"/>
              </w:rPr>
            </w:pPr>
            <w:r>
              <w:rPr>
                <w:color w:val="000000"/>
              </w:rPr>
              <w:t xml:space="preserve">A </w:t>
            </w:r>
            <w:r>
              <w:rPr>
                <w:b/>
                <w:bCs/>
                <w:color w:val="000000"/>
              </w:rPr>
              <w:t>description of the process for transferring</w:t>
            </w:r>
            <w:r>
              <w:rPr>
                <w:color w:val="000000"/>
              </w:rPr>
              <w:t xml:space="preserve"> a license(s) / contracts</w:t>
            </w:r>
          </w:p>
          <w:p w14:paraId="78158CC3" w14:textId="77777777" w:rsidR="00BB62F4" w:rsidRDefault="00000000">
            <w:pPr>
              <w:pBdr>
                <w:top w:val="nil"/>
                <w:left w:val="nil"/>
                <w:bottom w:val="nil"/>
                <w:right w:val="nil"/>
                <w:between w:val="nil"/>
              </w:pBdr>
              <w:ind w:left="360"/>
              <w:rPr>
                <w:color w:val="000000"/>
                <w:shd w:val="clear" w:color="auto" w:fill="D9E2F3"/>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6DC61FC1" w14:textId="77777777" w:rsidR="00BB62F4" w:rsidRDefault="00BB62F4">
            <w:pPr>
              <w:pBdr>
                <w:top w:val="nil"/>
                <w:left w:val="nil"/>
                <w:bottom w:val="nil"/>
                <w:right w:val="nil"/>
                <w:between w:val="nil"/>
              </w:pBdr>
              <w:shd w:val="clear" w:color="auto" w:fill="FFFFFF"/>
              <w:ind w:left="360"/>
              <w:rPr>
                <w:i/>
                <w:iCs/>
                <w:color w:val="000000"/>
                <w:shd w:val="clear" w:color="auto" w:fill="D9E2F3"/>
              </w:rPr>
            </w:pPr>
          </w:p>
          <w:p w14:paraId="64BD2653"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this (source):</w:t>
            </w:r>
          </w:p>
          <w:p w14:paraId="477417B1" w14:textId="77777777" w:rsidR="00BB62F4" w:rsidRDefault="00000000">
            <w:pPr>
              <w:pBdr>
                <w:top w:val="nil"/>
                <w:left w:val="nil"/>
                <w:bottom w:val="nil"/>
                <w:right w:val="nil"/>
                <w:between w:val="nil"/>
              </w:pBdr>
              <w:shd w:val="clear" w:color="auto" w:fill="FFFFFF"/>
              <w:ind w:left="360"/>
              <w:rPr>
                <w:color w:val="0000FF"/>
                <w:u w:val="single"/>
                <w:shd w:val="clear" w:color="auto" w:fill="D9E2F3"/>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p>
          <w:p w14:paraId="4BBDBD76" w14:textId="77777777" w:rsidR="00BB62F4" w:rsidRDefault="00000000">
            <w:pPr>
              <w:numPr>
                <w:ilvl w:val="0"/>
                <w:numId w:val="15"/>
              </w:numPr>
              <w:pBdr>
                <w:top w:val="nil"/>
                <w:left w:val="nil"/>
                <w:bottom w:val="nil"/>
                <w:right w:val="nil"/>
                <w:between w:val="nil"/>
              </w:pBdr>
              <w:shd w:val="clear" w:color="auto" w:fill="FFFFFF"/>
              <w:rPr>
                <w:rFonts w:ascii="EB Garamond" w:eastAsia="EB Garamond" w:hAnsi="EB Garamond" w:cs="EB Garamond"/>
                <w:color w:val="000000"/>
              </w:rPr>
            </w:pPr>
            <w:hyperlink r:id="rId53">
              <w:r>
                <w:rPr>
                  <w:rFonts w:ascii="EB Garamond" w:eastAsia="EB Garamond" w:hAnsi="EB Garamond" w:cs="EB Garamond"/>
                  <w:color w:val="1155CC"/>
                  <w:u w:val="single"/>
                  <w:shd w:val="clear" w:color="auto" w:fill="D9E2F3"/>
                </w:rPr>
                <w:t>https://www.nuprc.gov.ng/wp-content/uploads/2025/02/ASSIGNMENT-OF-INTEREST-REGULATIONS-2024.pdf</w:t>
              </w:r>
            </w:hyperlink>
          </w:p>
          <w:p w14:paraId="491A41BE" w14:textId="77777777" w:rsidR="00BB62F4" w:rsidRDefault="00000000">
            <w:pPr>
              <w:numPr>
                <w:ilvl w:val="0"/>
                <w:numId w:val="15"/>
              </w:numPr>
              <w:pBdr>
                <w:top w:val="nil"/>
                <w:left w:val="nil"/>
                <w:bottom w:val="nil"/>
                <w:right w:val="nil"/>
                <w:between w:val="nil"/>
              </w:pBdr>
              <w:shd w:val="clear" w:color="auto" w:fill="FFFFFF"/>
              <w:rPr>
                <w:color w:val="000000"/>
              </w:rPr>
            </w:pPr>
            <w:hyperlink r:id="rId54">
              <w:r>
                <w:rPr>
                  <w:color w:val="0000FF"/>
                  <w:u w:val="single"/>
                </w:rPr>
                <w:t>Draft-Nigeria-Upstream-Petroleum-Development-Contracts-Administration-Regulations.pdf</w:t>
              </w:r>
            </w:hyperlink>
          </w:p>
          <w:p w14:paraId="0F58E2C1" w14:textId="77777777" w:rsidR="00BB62F4" w:rsidRDefault="00000000">
            <w:pPr>
              <w:numPr>
                <w:ilvl w:val="0"/>
                <w:numId w:val="15"/>
              </w:numPr>
              <w:pBdr>
                <w:top w:val="nil"/>
                <w:left w:val="nil"/>
                <w:bottom w:val="nil"/>
                <w:right w:val="nil"/>
                <w:between w:val="nil"/>
              </w:pBdr>
              <w:shd w:val="clear" w:color="auto" w:fill="FFFFFF"/>
              <w:rPr>
                <w:color w:val="000000"/>
              </w:rPr>
            </w:pPr>
            <w:hyperlink r:id="rId55">
              <w:r>
                <w:rPr>
                  <w:color w:val="0000FF"/>
                  <w:u w:val="single"/>
                </w:rPr>
                <w:t>C:\ADEX\Regulations\Conversion</w:t>
              </w:r>
            </w:hyperlink>
          </w:p>
          <w:p w14:paraId="5FFFB996" w14:textId="77777777" w:rsidR="00BB62F4" w:rsidRDefault="00000000">
            <w:pPr>
              <w:pBdr>
                <w:top w:val="nil"/>
                <w:left w:val="nil"/>
                <w:bottom w:val="nil"/>
                <w:right w:val="nil"/>
                <w:between w:val="nil"/>
              </w:pBdr>
              <w:shd w:val="clear" w:color="auto" w:fill="FFFFFF"/>
              <w:ind w:left="360"/>
              <w:rPr>
                <w:color w:val="000000"/>
              </w:rPr>
            </w:pPr>
            <w:r>
              <w:rPr>
                <w:color w:val="000000"/>
              </w:rPr>
              <w:t>AND / OR</w:t>
            </w:r>
          </w:p>
          <w:p w14:paraId="707FA786"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color w:val="000000"/>
              </w:rPr>
              <w:t xml:space="preserve">Other sources: </w:t>
            </w:r>
            <w:r>
              <w:rPr>
                <w:color w:val="000000"/>
                <w:shd w:val="clear" w:color="auto" w:fill="D9E2F3"/>
              </w:rPr>
              <w:t>EITI Report (year and page number), EITI website etc</w:t>
            </w:r>
            <w:r>
              <w:rPr>
                <w:i/>
                <w:iCs/>
                <w:color w:val="000000"/>
                <w:shd w:val="clear" w:color="auto" w:fill="D9E2F3"/>
              </w:rPr>
              <w:t xml:space="preserve">  </w:t>
            </w:r>
          </w:p>
          <w:p w14:paraId="6C4ABF6E" w14:textId="77777777" w:rsidR="00BB62F4" w:rsidRDefault="00000000">
            <w:pPr>
              <w:numPr>
                <w:ilvl w:val="0"/>
                <w:numId w:val="21"/>
              </w:numPr>
              <w:pBdr>
                <w:top w:val="nil"/>
                <w:left w:val="nil"/>
                <w:bottom w:val="nil"/>
                <w:right w:val="nil"/>
                <w:between w:val="nil"/>
              </w:pBdr>
              <w:shd w:val="clear" w:color="auto" w:fill="FFFFFF"/>
              <w:rPr>
                <w:rFonts w:ascii="EB Garamond" w:eastAsia="EB Garamond" w:hAnsi="EB Garamond" w:cs="EB Garamond"/>
                <w:color w:val="000000"/>
              </w:rPr>
            </w:pPr>
            <w:r>
              <w:rPr>
                <w:rFonts w:ascii="Times New Roman" w:eastAsia="Times New Roman" w:hAnsi="Times New Roman" w:cs="Times New Roman"/>
                <w:i/>
                <w:iCs/>
                <w:color w:val="000000"/>
                <w:sz w:val="24"/>
                <w:szCs w:val="24"/>
              </w:rPr>
              <w:t xml:space="preserve"> </w:t>
            </w:r>
            <w:r>
              <w:rPr>
                <w:rFonts w:ascii="EB Garamond" w:eastAsia="EB Garamond" w:hAnsi="EB Garamond" w:cs="EB Garamond"/>
                <w:i/>
                <w:iCs/>
                <w:color w:val="000000"/>
              </w:rPr>
              <w:t> </w:t>
            </w:r>
            <w:r>
              <w:rPr>
                <w:rFonts w:ascii="EB Garamond" w:eastAsia="EB Garamond" w:hAnsi="EB Garamond" w:cs="EB Garamond"/>
                <w:color w:val="000000"/>
                <w:shd w:val="clear" w:color="auto" w:fill="D9E2F3"/>
              </w:rPr>
              <w:t xml:space="preserve">NEITI 2023 OIL AND GAS CONTEXTUAL INFORMATION, Chapter 4: Section 4.1 </w:t>
            </w:r>
            <w:hyperlink r:id="rId56">
              <w:r>
                <w:rPr>
                  <w:rFonts w:ascii="EB Garamond" w:eastAsia="EB Garamond" w:hAnsi="EB Garamond" w:cs="EB Garamond"/>
                  <w:color w:val="1155CC"/>
                  <w:u w:val="single"/>
                  <w:shd w:val="clear" w:color="auto" w:fill="D9E2F3"/>
                </w:rPr>
                <w:t>Audits | NEITI</w:t>
              </w:r>
            </w:hyperlink>
            <w:hyperlink r:id="rId57">
              <w:r>
                <w:rPr>
                  <w:rFonts w:ascii="EB Garamond" w:eastAsia="EB Garamond" w:hAnsi="EB Garamond" w:cs="EB Garamond"/>
                  <w:i/>
                  <w:iCs/>
                  <w:color w:val="000000"/>
                </w:rPr>
                <w:br/>
              </w:r>
              <w:r>
                <w:rPr>
                  <w:rFonts w:ascii="EB Garamond" w:eastAsia="EB Garamond" w:hAnsi="EB Garamond" w:cs="EB Garamond"/>
                  <w:i/>
                  <w:iCs/>
                  <w:color w:val="000000"/>
                </w:rPr>
                <w:br/>
              </w:r>
            </w:hyperlink>
            <w:r>
              <w:rPr>
                <w:rFonts w:ascii="Times New Roman" w:eastAsia="Times New Roman" w:hAnsi="Times New Roman" w:cs="Times New Roman"/>
                <w:i/>
                <w:iCs/>
                <w:color w:val="000000"/>
                <w:sz w:val="24"/>
                <w:szCs w:val="24"/>
              </w:rPr>
              <w:br/>
            </w:r>
          </w:p>
          <w:p w14:paraId="0A9ED3A1" w14:textId="77777777" w:rsidR="00BB62F4" w:rsidRDefault="00000000">
            <w:pPr>
              <w:pBdr>
                <w:top w:val="nil"/>
                <w:left w:val="nil"/>
                <w:bottom w:val="nil"/>
                <w:right w:val="nil"/>
                <w:between w:val="nil"/>
              </w:pBdr>
              <w:ind w:left="360"/>
              <w:rPr>
                <w:color w:val="000000"/>
                <w:shd w:val="clear" w:color="auto" w:fill="D9E2F3"/>
              </w:rPr>
            </w:pPr>
            <w:r>
              <w:rPr>
                <w:b/>
                <w:bCs/>
                <w:color w:val="000000"/>
              </w:rPr>
              <w:t>If transfers are not allowed under the law</w:t>
            </w:r>
            <w:r>
              <w:rPr>
                <w:color w:val="000000"/>
              </w:rPr>
              <w:t>,</w:t>
            </w:r>
            <w:r>
              <w:rPr>
                <w:color w:val="000000"/>
                <w:shd w:val="clear" w:color="auto" w:fill="D9E2F3"/>
              </w:rPr>
              <w:t xml:space="preserve"> please specify: …  </w:t>
            </w:r>
          </w:p>
          <w:p w14:paraId="0A2973ED" w14:textId="77777777" w:rsidR="00BB62F4" w:rsidRDefault="00BB62F4">
            <w:pPr>
              <w:pBdr>
                <w:top w:val="nil"/>
                <w:left w:val="nil"/>
                <w:bottom w:val="nil"/>
                <w:right w:val="nil"/>
                <w:between w:val="nil"/>
              </w:pBdr>
              <w:ind w:left="360"/>
              <w:rPr>
                <w:color w:val="000000"/>
              </w:rPr>
            </w:pPr>
          </w:p>
          <w:p w14:paraId="7350F38E" w14:textId="77777777" w:rsidR="00BB62F4" w:rsidRDefault="00000000">
            <w:pPr>
              <w:numPr>
                <w:ilvl w:val="0"/>
                <w:numId w:val="22"/>
              </w:numPr>
              <w:pBdr>
                <w:top w:val="nil"/>
                <w:left w:val="nil"/>
                <w:bottom w:val="nil"/>
                <w:right w:val="nil"/>
                <w:between w:val="nil"/>
              </w:pBdr>
              <w:rPr>
                <w:color w:val="000000"/>
              </w:rPr>
            </w:pPr>
            <w:r>
              <w:rPr>
                <w:color w:val="000000"/>
              </w:rPr>
              <w:t xml:space="preserve">The </w:t>
            </w:r>
            <w:r>
              <w:rPr>
                <w:b/>
                <w:bCs/>
                <w:color w:val="000000"/>
              </w:rPr>
              <w:t>technical and financial criteria</w:t>
            </w:r>
            <w:r>
              <w:rPr>
                <w:color w:val="000000"/>
              </w:rPr>
              <w:t xml:space="preserve"> used for </w:t>
            </w:r>
            <w:r>
              <w:rPr>
                <w:color w:val="000000"/>
                <w:u w:val="single"/>
              </w:rPr>
              <w:t>transferring</w:t>
            </w:r>
            <w:r>
              <w:rPr>
                <w:color w:val="000000"/>
              </w:rPr>
              <w:t xml:space="preserve"> the license(s)</w:t>
            </w:r>
          </w:p>
          <w:p w14:paraId="039C9217" w14:textId="77777777" w:rsidR="00BB62F4" w:rsidRDefault="00000000">
            <w:pPr>
              <w:pBdr>
                <w:top w:val="nil"/>
                <w:left w:val="nil"/>
                <w:bottom w:val="nil"/>
                <w:right w:val="nil"/>
                <w:between w:val="nil"/>
              </w:pBdr>
              <w:ind w:left="3000" w:hanging="2640"/>
              <w:rPr>
                <w:color w:val="000000"/>
                <w:shd w:val="clear" w:color="auto" w:fill="D9E2F3"/>
              </w:rPr>
            </w:pP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 xml:space="preserve">No            </w:t>
            </w:r>
            <w:r>
              <w:rPr>
                <w:rFonts w:ascii="MS Gothic" w:eastAsia="MS Gothic" w:hAnsi="MS Gothic" w:cs="MS Gothic"/>
                <w:color w:val="000000"/>
              </w:rPr>
              <w:t xml:space="preserve">☐ </w:t>
            </w:r>
            <w:r>
              <w:rPr>
                <w:color w:val="000000"/>
                <w:shd w:val="clear" w:color="auto" w:fill="D9E2F3"/>
              </w:rPr>
              <w:t>There are no financial and technical criteria for companies to whom the license is transferred to</w:t>
            </w:r>
          </w:p>
          <w:p w14:paraId="289D2771"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this (source):</w:t>
            </w:r>
          </w:p>
          <w:p w14:paraId="2FFEDE89" w14:textId="77777777" w:rsidR="00BB62F4" w:rsidRDefault="00000000">
            <w:pPr>
              <w:pBdr>
                <w:top w:val="nil"/>
                <w:left w:val="nil"/>
                <w:bottom w:val="nil"/>
                <w:right w:val="nil"/>
                <w:between w:val="nil"/>
              </w:pBdr>
              <w:shd w:val="clear" w:color="auto" w:fill="FFFFFF"/>
              <w:ind w:left="360"/>
              <w:rPr>
                <w:i/>
                <w:iCs/>
                <w:color w:val="0000FF"/>
                <w:u w:val="single"/>
                <w:shd w:val="clear" w:color="auto" w:fill="D9E2F3"/>
              </w:rPr>
            </w:pP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r>
              <w:rPr>
                <w:i/>
                <w:iCs/>
                <w:color w:val="0000FF"/>
                <w:u w:val="single"/>
                <w:shd w:val="clear" w:color="auto" w:fill="D9E2F3"/>
              </w:rPr>
              <w:t xml:space="preserve"> </w:t>
            </w:r>
          </w:p>
          <w:p w14:paraId="5FAC085B" w14:textId="77777777" w:rsidR="00BB62F4" w:rsidRDefault="00000000">
            <w:pPr>
              <w:pBdr>
                <w:top w:val="nil"/>
                <w:left w:val="nil"/>
                <w:bottom w:val="nil"/>
                <w:right w:val="nil"/>
                <w:between w:val="nil"/>
              </w:pBdr>
              <w:shd w:val="clear" w:color="auto" w:fill="FFFFFF"/>
              <w:ind w:left="360"/>
              <w:rPr>
                <w:color w:val="000000"/>
              </w:rPr>
            </w:pPr>
            <w:r>
              <w:rPr>
                <w:color w:val="000000"/>
              </w:rPr>
              <w:lastRenderedPageBreak/>
              <w:t xml:space="preserve">Under the Petroleum Industry Act (PIA) 2021, technical and financial criteria for license transfer are governed primarily by Section 95 (Assignment/Transfer) and Section 303 and a </w:t>
            </w:r>
            <w:proofErr w:type="gramStart"/>
            <w:r>
              <w:rPr>
                <w:color w:val="000000"/>
              </w:rPr>
              <w:t>detailed operational guidelines</w:t>
            </w:r>
            <w:proofErr w:type="gramEnd"/>
            <w:r>
              <w:rPr>
                <w:color w:val="000000"/>
              </w:rPr>
              <w:t xml:space="preserve"> issued by NUPRC attached </w:t>
            </w:r>
            <w:proofErr w:type="gramStart"/>
            <w:r>
              <w:rPr>
                <w:color w:val="000000"/>
              </w:rPr>
              <w:t>here(</w:t>
            </w:r>
            <w:proofErr w:type="gramEnd"/>
            <w:r>
              <w:fldChar w:fldCharType="begin"/>
            </w:r>
            <w:r>
              <w:instrText>HYPERLINK "https://www.nuprc.gov.ng/upload/nuprc_laws/Minister_s_Consent_1781449458374.pdf" \h</w:instrText>
            </w:r>
            <w:r>
              <w:fldChar w:fldCharType="separate"/>
            </w:r>
            <w:r>
              <w:rPr>
                <w:color w:val="0000FF"/>
                <w:u w:val="single"/>
              </w:rPr>
              <w:t>Guidelines and Procedures for Obtaining Minister’s Consent {2021}</w:t>
            </w:r>
            <w:r>
              <w:fldChar w:fldCharType="end"/>
            </w:r>
            <w:r>
              <w:rPr>
                <w:color w:val="000000"/>
              </w:rPr>
              <w:t>).</w:t>
            </w:r>
          </w:p>
          <w:p w14:paraId="65C97C0C" w14:textId="77777777" w:rsidR="00BB62F4" w:rsidRDefault="00000000">
            <w:pPr>
              <w:pBdr>
                <w:top w:val="nil"/>
                <w:left w:val="nil"/>
                <w:bottom w:val="nil"/>
                <w:right w:val="nil"/>
                <w:between w:val="nil"/>
              </w:pBdr>
              <w:shd w:val="clear" w:color="auto" w:fill="FFFFFF"/>
              <w:ind w:left="360"/>
              <w:rPr>
                <w:color w:val="000000"/>
              </w:rPr>
            </w:pPr>
            <w:hyperlink r:id="rId58">
              <w:r>
                <w:rPr>
                  <w:color w:val="0000FF"/>
                  <w:u w:val="single"/>
                </w:rPr>
                <w:t>DRAFT NIGERIA UPSTREAM PETROLEUM ASSIGNMENT OF INTERESTS REGULATIONS</w:t>
              </w:r>
            </w:hyperlink>
          </w:p>
          <w:p w14:paraId="7DA8D543"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510A63AD"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 xml:space="preserve">EITI Report (year and page number), EITI website etc: </w:t>
            </w:r>
            <w:r>
              <w:rPr>
                <w:color w:val="000000"/>
                <w:shd w:val="clear" w:color="auto" w:fill="D9E2F3"/>
              </w:rPr>
              <w:t>None</w:t>
            </w:r>
            <w:r>
              <w:rPr>
                <w:i/>
                <w:iCs/>
                <w:color w:val="000000"/>
                <w:shd w:val="clear" w:color="auto" w:fill="D9E2F3"/>
              </w:rPr>
              <w:br/>
            </w:r>
          </w:p>
          <w:p w14:paraId="169EB2E6" w14:textId="77777777" w:rsidR="00BB62F4" w:rsidRDefault="00000000">
            <w:pPr>
              <w:numPr>
                <w:ilvl w:val="0"/>
                <w:numId w:val="22"/>
              </w:numPr>
              <w:pBdr>
                <w:top w:val="nil"/>
                <w:left w:val="nil"/>
                <w:bottom w:val="nil"/>
                <w:right w:val="nil"/>
                <w:between w:val="nil"/>
              </w:pBdr>
              <w:rPr>
                <w:color w:val="808080"/>
              </w:rPr>
            </w:pPr>
            <w:r>
              <w:rPr>
                <w:b/>
                <w:bCs/>
                <w:color w:val="000000"/>
              </w:rPr>
              <w:t>Information on consultation and free prior informed consent</w:t>
            </w:r>
            <w:r>
              <w:rPr>
                <w:color w:val="000000"/>
              </w:rPr>
              <w:t xml:space="preserve"> (FPIC) processes with impacted communities</w:t>
            </w:r>
            <w:r>
              <w:rPr>
                <w:color w:val="808080"/>
              </w:rPr>
              <w:t xml:space="preserve"> (where applicable)</w:t>
            </w:r>
          </w:p>
          <w:p w14:paraId="6141ED3B" w14:textId="77777777" w:rsidR="00BB62F4" w:rsidRDefault="00000000">
            <w:pPr>
              <w:pBdr>
                <w:top w:val="nil"/>
                <w:left w:val="nil"/>
                <w:bottom w:val="nil"/>
                <w:right w:val="nil"/>
                <w:between w:val="nil"/>
              </w:pBdr>
              <w:ind w:left="360"/>
              <w:rPr>
                <w:color w:val="000000"/>
                <w:shd w:val="clear" w:color="auto" w:fill="D9E2F3"/>
              </w:rPr>
            </w:pP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3936DBCE"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this (source):</w:t>
            </w:r>
          </w:p>
          <w:p w14:paraId="089B52D8" w14:textId="77777777" w:rsidR="00BB62F4" w:rsidRDefault="00000000">
            <w:pPr>
              <w:pBdr>
                <w:top w:val="nil"/>
                <w:left w:val="nil"/>
                <w:bottom w:val="nil"/>
                <w:right w:val="nil"/>
                <w:between w:val="nil"/>
              </w:pBdr>
              <w:shd w:val="clear" w:color="auto" w:fill="FFFFFF"/>
              <w:ind w:left="360"/>
              <w:rPr>
                <w:i/>
                <w:iCs/>
                <w:color w:val="0000FF"/>
                <w:u w:val="single"/>
                <w:shd w:val="clear" w:color="auto" w:fill="D9E2F3"/>
              </w:rPr>
            </w:pP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r>
              <w:rPr>
                <w:i/>
                <w:iCs/>
                <w:color w:val="0000FF"/>
                <w:u w:val="single"/>
                <w:shd w:val="clear" w:color="auto" w:fill="D9E2F3"/>
              </w:rPr>
              <w:t>:</w:t>
            </w:r>
          </w:p>
          <w:p w14:paraId="49C5D640" w14:textId="77777777" w:rsidR="00BB62F4" w:rsidRDefault="00000000">
            <w:pPr>
              <w:numPr>
                <w:ilvl w:val="0"/>
                <w:numId w:val="23"/>
              </w:numPr>
              <w:pBdr>
                <w:top w:val="nil"/>
                <w:left w:val="nil"/>
                <w:bottom w:val="nil"/>
                <w:right w:val="nil"/>
                <w:between w:val="nil"/>
              </w:pBdr>
              <w:shd w:val="clear" w:color="auto" w:fill="FFFFFF"/>
              <w:jc w:val="both"/>
              <w:rPr>
                <w:color w:val="000000"/>
                <w:shd w:val="clear" w:color="auto" w:fill="D9E2F3"/>
              </w:rPr>
            </w:pPr>
            <w:r>
              <w:rPr>
                <w:color w:val="000000"/>
                <w:shd w:val="clear" w:color="auto" w:fill="D9E2F3"/>
              </w:rPr>
              <w:t xml:space="preserve">Instead of FPIC, the PIA 2021 mandates a statutory, rather than discretionary, approach to community engagement, consultation, and </w:t>
            </w:r>
            <w:proofErr w:type="gramStart"/>
            <w:r>
              <w:rPr>
                <w:color w:val="000000"/>
                <w:shd w:val="clear" w:color="auto" w:fill="D9E2F3"/>
              </w:rPr>
              <w:t>consent  Chapter</w:t>
            </w:r>
            <w:proofErr w:type="gramEnd"/>
            <w:r>
              <w:rPr>
                <w:color w:val="000000"/>
                <w:shd w:val="clear" w:color="auto" w:fill="D9E2F3"/>
              </w:rPr>
              <w:t xml:space="preserve"> 3 (Section 234-261) of the </w:t>
            </w:r>
            <w:hyperlink r:id="rId59">
              <w:r>
                <w:rPr>
                  <w:color w:val="0000FF"/>
                  <w:u w:val="single"/>
                  <w:shd w:val="clear" w:color="auto" w:fill="D9E2F3"/>
                </w:rPr>
                <w:t>PIA 2021</w:t>
              </w:r>
            </w:hyperlink>
            <w:r>
              <w:rPr>
                <w:color w:val="000000"/>
                <w:shd w:val="clear" w:color="auto" w:fill="D9E2F3"/>
              </w:rPr>
              <w:t xml:space="preserve"> which dictates that oil companies (settlors) must incorporate and fund an </w:t>
            </w:r>
            <w:hyperlink r:id="rId60">
              <w:r>
                <w:rPr>
                  <w:color w:val="0000FF"/>
                  <w:u w:val="single"/>
                  <w:shd w:val="clear" w:color="auto" w:fill="D9E2F3"/>
                </w:rPr>
                <w:t>Host Communities Development Trust (HCDT)</w:t>
              </w:r>
            </w:hyperlink>
            <w:r>
              <w:rPr>
                <w:color w:val="000000"/>
                <w:shd w:val="clear" w:color="auto" w:fill="D9E2F3"/>
              </w:rPr>
              <w:t xml:space="preserve"> for the benefit of host communities.</w:t>
            </w:r>
          </w:p>
          <w:p w14:paraId="45B92E6A" w14:textId="77777777" w:rsidR="00BB62F4" w:rsidRDefault="00000000">
            <w:pPr>
              <w:numPr>
                <w:ilvl w:val="0"/>
                <w:numId w:val="23"/>
              </w:numPr>
              <w:pBdr>
                <w:top w:val="nil"/>
                <w:left w:val="nil"/>
                <w:bottom w:val="nil"/>
                <w:right w:val="nil"/>
                <w:between w:val="nil"/>
              </w:pBdr>
              <w:shd w:val="clear" w:color="auto" w:fill="FFFFFF"/>
              <w:jc w:val="both"/>
              <w:rPr>
                <w:color w:val="0000FF"/>
                <w:shd w:val="clear" w:color="auto" w:fill="D9E2F3"/>
              </w:rPr>
            </w:pPr>
            <w:r>
              <w:rPr>
                <w:color w:val="000000"/>
              </w:rPr>
              <w:t xml:space="preserve">NUPRC Regulations (Assignment of Interest and Host Communities Development) </w:t>
            </w:r>
            <w:hyperlink r:id="rId61">
              <w:r>
                <w:rPr>
                  <w:color w:val="0000FF"/>
                  <w:u w:val="single"/>
                </w:rPr>
                <w:t>DRAFT NIGERIA UPSTREAM PETROLEUM ASSIGNMENT OF INTERESTS REGULATIONS</w:t>
              </w:r>
            </w:hyperlink>
          </w:p>
          <w:p w14:paraId="6C367830" w14:textId="77777777" w:rsidR="00BB62F4" w:rsidRDefault="00BB62F4">
            <w:pPr>
              <w:pBdr>
                <w:top w:val="nil"/>
                <w:left w:val="nil"/>
                <w:bottom w:val="nil"/>
                <w:right w:val="nil"/>
                <w:between w:val="nil"/>
              </w:pBdr>
              <w:shd w:val="clear" w:color="auto" w:fill="FFFFFF"/>
              <w:ind w:left="1125"/>
              <w:jc w:val="both"/>
              <w:rPr>
                <w:color w:val="0000FF"/>
                <w:shd w:val="clear" w:color="auto" w:fill="D9E2F3"/>
              </w:rPr>
            </w:pPr>
          </w:p>
          <w:p w14:paraId="00ADC7EC" w14:textId="77777777" w:rsidR="00BB62F4" w:rsidRDefault="00BB62F4">
            <w:pPr>
              <w:pBdr>
                <w:top w:val="nil"/>
                <w:left w:val="nil"/>
                <w:bottom w:val="nil"/>
                <w:right w:val="nil"/>
                <w:between w:val="nil"/>
              </w:pBdr>
              <w:shd w:val="clear" w:color="auto" w:fill="FFFFFF"/>
              <w:ind w:left="720"/>
              <w:rPr>
                <w:color w:val="000000"/>
              </w:rPr>
            </w:pPr>
          </w:p>
          <w:p w14:paraId="25DB4D3A" w14:textId="77777777" w:rsidR="00BB62F4" w:rsidRDefault="00BB62F4">
            <w:pPr>
              <w:pBdr>
                <w:top w:val="nil"/>
                <w:left w:val="nil"/>
                <w:bottom w:val="nil"/>
                <w:right w:val="nil"/>
                <w:between w:val="nil"/>
              </w:pBdr>
              <w:shd w:val="clear" w:color="auto" w:fill="FFFFFF"/>
              <w:ind w:left="720"/>
              <w:rPr>
                <w:color w:val="000000"/>
              </w:rPr>
            </w:pPr>
          </w:p>
          <w:p w14:paraId="692E6F27"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356B22A4" w14:textId="77777777" w:rsidR="00BB62F4" w:rsidRDefault="00000000">
            <w:pPr>
              <w:pBdr>
                <w:top w:val="nil"/>
                <w:left w:val="nil"/>
                <w:bottom w:val="nil"/>
                <w:right w:val="nil"/>
                <w:between w:val="nil"/>
              </w:pBdr>
              <w:ind w:left="378"/>
              <w:rPr>
                <w:color w:val="000000"/>
                <w:shd w:val="clear" w:color="auto" w:fill="D9E2F3"/>
              </w:rPr>
            </w:pPr>
            <w:r>
              <w:rPr>
                <w:i/>
                <w:iCs/>
                <w:color w:val="000000"/>
              </w:rPr>
              <w:t xml:space="preserve">Other sources: </w:t>
            </w:r>
            <w:r>
              <w:rPr>
                <w:i/>
                <w:iCs/>
                <w:color w:val="000000"/>
                <w:shd w:val="clear" w:color="auto" w:fill="D9E2F3"/>
              </w:rPr>
              <w:t>None</w:t>
            </w:r>
          </w:p>
        </w:tc>
      </w:tr>
      <w:tr w:rsidR="00BB62F4" w14:paraId="4EC644BB" w14:textId="77777777">
        <w:tc>
          <w:tcPr>
            <w:tcW w:w="1530" w:type="dxa"/>
            <w:tcBorders>
              <w:top w:val="nil"/>
              <w:left w:val="nil"/>
              <w:bottom w:val="single" w:sz="4" w:space="0" w:color="000000"/>
              <w:right w:val="nil"/>
            </w:tcBorders>
          </w:tcPr>
          <w:p w14:paraId="6DD5FD22" w14:textId="77777777" w:rsidR="00BB62F4" w:rsidRDefault="00000000">
            <w:pPr>
              <w:rPr>
                <w:i/>
                <w:iCs/>
              </w:rPr>
            </w:pPr>
            <w:r>
              <w:rPr>
                <w:i/>
                <w:iCs/>
                <w:u w:val="single"/>
              </w:rPr>
              <w:lastRenderedPageBreak/>
              <w:t>Identity</w:t>
            </w:r>
            <w:r>
              <w:rPr>
                <w:i/>
                <w:iCs/>
              </w:rPr>
              <w:t xml:space="preserve"> of license or contract </w:t>
            </w:r>
            <w:r>
              <w:rPr>
                <w:b/>
                <w:bCs/>
                <w:i/>
                <w:iCs/>
              </w:rPr>
              <w:t>transferees</w:t>
            </w:r>
            <w:r>
              <w:rPr>
                <w:i/>
                <w:iCs/>
              </w:rPr>
              <w:t xml:space="preserve"> (2.1.a.iii)</w:t>
            </w:r>
          </w:p>
        </w:tc>
        <w:tc>
          <w:tcPr>
            <w:tcW w:w="6975" w:type="dxa"/>
            <w:tcBorders>
              <w:top w:val="nil"/>
              <w:left w:val="nil"/>
              <w:bottom w:val="single" w:sz="4" w:space="0" w:color="000000"/>
              <w:right w:val="nil"/>
            </w:tcBorders>
          </w:tcPr>
          <w:p w14:paraId="455D01C7" w14:textId="77777777" w:rsidR="00BB62F4" w:rsidRDefault="00000000">
            <w:r>
              <w:rPr>
                <w:b/>
                <w:bCs/>
              </w:rPr>
              <w:t>Are the recipient</w:t>
            </w:r>
            <w:r>
              <w:t>(</w:t>
            </w:r>
            <w:r>
              <w:rPr>
                <w:b/>
                <w:bCs/>
              </w:rPr>
              <w:t xml:space="preserve">s) to whom the contract or license has been </w:t>
            </w:r>
            <w:r>
              <w:rPr>
                <w:b/>
                <w:bCs/>
                <w:u w:val="single"/>
              </w:rPr>
              <w:t>transferred to</w:t>
            </w:r>
            <w:r>
              <w:rPr>
                <w:b/>
                <w:bCs/>
              </w:rPr>
              <w:t>, including consortium member(s), disclosed publicly?</w:t>
            </w:r>
            <w:r>
              <w:t xml:space="preserve"> </w:t>
            </w:r>
            <w:r>
              <w:br/>
            </w:r>
            <w:r>
              <w:rPr>
                <w:color w:val="7F7F7F"/>
              </w:rPr>
              <w:t xml:space="preserve">Note: this requirement covers </w:t>
            </w:r>
            <w:r>
              <w:rPr>
                <w:color w:val="7F7F7F"/>
                <w:u w:val="single"/>
              </w:rPr>
              <w:t>all</w:t>
            </w:r>
            <w:r>
              <w:rPr>
                <w:color w:val="7F7F7F"/>
              </w:rPr>
              <w:t xml:space="preserve"> companies, not only material companies-</w:t>
            </w:r>
          </w:p>
          <w:p w14:paraId="1C1A1606" w14:textId="77777777" w:rsidR="00BB62F4" w:rsidRDefault="00000000">
            <w:pPr>
              <w:pBdr>
                <w:top w:val="nil"/>
                <w:left w:val="nil"/>
                <w:bottom w:val="nil"/>
                <w:right w:val="nil"/>
                <w:between w:val="nil"/>
              </w:pBdr>
              <w:ind w:left="360"/>
              <w:rPr>
                <w:color w:val="000000"/>
                <w:shd w:val="clear" w:color="auto" w:fill="D9E2F3"/>
              </w:rPr>
            </w:pP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 xml:space="preserve">No   </w:t>
            </w:r>
            <w:r>
              <w:rPr>
                <w:rFonts w:ascii="MS Gothic" w:eastAsia="MS Gothic" w:hAnsi="MS Gothic" w:cs="MS Gothic"/>
                <w:color w:val="000000"/>
              </w:rPr>
              <w:t xml:space="preserve">☐ </w:t>
            </w:r>
            <w:r>
              <w:rPr>
                <w:color w:val="000000"/>
                <w:shd w:val="clear" w:color="auto" w:fill="D9E2F3"/>
              </w:rPr>
              <w:t>No licenses and contracts have been transferred in the period under review.</w:t>
            </w:r>
          </w:p>
          <w:p w14:paraId="2FCB98C8"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recipient list (source):</w:t>
            </w:r>
          </w:p>
          <w:p w14:paraId="30B0F7C4" w14:textId="77777777" w:rsidR="00BB62F4" w:rsidRDefault="00000000">
            <w:pPr>
              <w:pBdr>
                <w:top w:val="nil"/>
                <w:left w:val="nil"/>
                <w:bottom w:val="nil"/>
                <w:right w:val="nil"/>
                <w:between w:val="nil"/>
              </w:pBdr>
              <w:shd w:val="clear" w:color="auto" w:fill="FFFFFF"/>
              <w:ind w:left="360"/>
              <w:rPr>
                <w:i/>
                <w:iCs/>
                <w:color w:val="0000FF"/>
                <w:u w:val="single"/>
                <w:shd w:val="clear" w:color="auto" w:fill="D9E2F3"/>
              </w:rPr>
            </w:pP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101DDC25" w14:textId="77777777" w:rsidR="00BB62F4" w:rsidRDefault="00000000">
            <w:pPr>
              <w:numPr>
                <w:ilvl w:val="0"/>
                <w:numId w:val="24"/>
              </w:numPr>
              <w:shd w:val="clear" w:color="auto" w:fill="FFFFFF"/>
              <w:spacing w:after="0"/>
              <w:rPr>
                <w:rFonts w:ascii="EB Garamond" w:eastAsia="EB Garamond" w:hAnsi="EB Garamond" w:cs="EB Garamond"/>
                <w:i/>
                <w:iCs/>
                <w:color w:val="000000"/>
              </w:rPr>
            </w:pPr>
            <w:hyperlink r:id="rId62">
              <w:r>
                <w:rPr>
                  <w:rFonts w:ascii="EB Garamond" w:eastAsia="EB Garamond" w:hAnsi="EB Garamond" w:cs="EB Garamond"/>
                  <w:i/>
                  <w:iCs/>
                  <w:color w:val="1155CC"/>
                  <w:u w:val="single"/>
                </w:rPr>
                <w:t>https://nogabor.nuprc.gov.ng/</w:t>
              </w:r>
            </w:hyperlink>
          </w:p>
          <w:p w14:paraId="649324EC" w14:textId="77777777" w:rsidR="00BB62F4" w:rsidRDefault="00000000">
            <w:pPr>
              <w:numPr>
                <w:ilvl w:val="0"/>
                <w:numId w:val="24"/>
              </w:numPr>
              <w:shd w:val="clear" w:color="auto" w:fill="FFFFFF"/>
              <w:spacing w:before="0" w:after="0"/>
              <w:rPr>
                <w:rFonts w:ascii="EB Garamond" w:eastAsia="EB Garamond" w:hAnsi="EB Garamond" w:cs="EB Garamond"/>
                <w:i/>
                <w:iCs/>
                <w:color w:val="000000"/>
              </w:rPr>
            </w:pPr>
            <w:hyperlink r:id="rId63">
              <w:r>
                <w:rPr>
                  <w:rFonts w:ascii="EB Garamond" w:eastAsia="EB Garamond" w:hAnsi="EB Garamond" w:cs="EB Garamond"/>
                  <w:i/>
                  <w:iCs/>
                  <w:color w:val="1155CC"/>
                  <w:u w:val="single"/>
                </w:rPr>
                <w:t>https://bor.cac.gov.ng/</w:t>
              </w:r>
            </w:hyperlink>
          </w:p>
          <w:p w14:paraId="7BFC5563" w14:textId="77777777" w:rsidR="00BB62F4" w:rsidRDefault="00000000">
            <w:pPr>
              <w:numPr>
                <w:ilvl w:val="0"/>
                <w:numId w:val="24"/>
              </w:numPr>
              <w:shd w:val="clear" w:color="auto" w:fill="FFFFFF"/>
              <w:spacing w:before="0" w:after="0"/>
              <w:rPr>
                <w:rFonts w:ascii="EB Garamond" w:eastAsia="EB Garamond" w:hAnsi="EB Garamond" w:cs="EB Garamond"/>
                <w:i/>
                <w:iCs/>
                <w:color w:val="000000"/>
              </w:rPr>
            </w:pPr>
            <w:hyperlink r:id="rId64">
              <w:r>
                <w:rPr>
                  <w:rFonts w:ascii="EB Garamond" w:eastAsia="EB Garamond" w:hAnsi="EB Garamond" w:cs="EB Garamond"/>
                  <w:i/>
                  <w:iCs/>
                  <w:color w:val="1155CC"/>
                  <w:u w:val="single"/>
                </w:rPr>
                <w:t>https://bo.neiti.gov.ng/</w:t>
              </w:r>
            </w:hyperlink>
            <w:r>
              <w:rPr>
                <w:rFonts w:ascii="EB Garamond" w:eastAsia="EB Garamond" w:hAnsi="EB Garamond" w:cs="EB Garamond"/>
                <w:i/>
                <w:iCs/>
                <w:color w:val="000000"/>
              </w:rPr>
              <w:t> </w:t>
            </w:r>
          </w:p>
          <w:p w14:paraId="1A64A723" w14:textId="77777777" w:rsidR="00BB62F4" w:rsidRDefault="00000000">
            <w:pPr>
              <w:numPr>
                <w:ilvl w:val="0"/>
                <w:numId w:val="24"/>
              </w:numPr>
              <w:shd w:val="clear" w:color="auto" w:fill="FFFFFF"/>
              <w:spacing w:before="0" w:after="0"/>
              <w:rPr>
                <w:rFonts w:ascii="EB Garamond" w:eastAsia="EB Garamond" w:hAnsi="EB Garamond" w:cs="EB Garamond"/>
                <w:i/>
                <w:iCs/>
                <w:color w:val="000000"/>
              </w:rPr>
            </w:pPr>
            <w:hyperlink r:id="rId65">
              <w:r>
                <w:rPr>
                  <w:rFonts w:ascii="EB Garamond" w:eastAsia="EB Garamond" w:hAnsi="EB Garamond" w:cs="EB Garamond"/>
                  <w:i/>
                  <w:iCs/>
                  <w:color w:val="1155CC"/>
                  <w:u w:val="single"/>
                </w:rPr>
                <w:t>CONCESSION – Nigerian Upstream Petroleum Regulatory Commission</w:t>
              </w:r>
            </w:hyperlink>
          </w:p>
          <w:p w14:paraId="226C9A0C" w14:textId="77777777" w:rsidR="00BB62F4" w:rsidRDefault="00000000">
            <w:pPr>
              <w:numPr>
                <w:ilvl w:val="0"/>
                <w:numId w:val="24"/>
              </w:numPr>
              <w:shd w:val="clear" w:color="auto" w:fill="FFFFFF"/>
              <w:spacing w:before="0" w:after="0"/>
              <w:rPr>
                <w:rFonts w:ascii="EB Garamond" w:eastAsia="EB Garamond" w:hAnsi="EB Garamond" w:cs="EB Garamond"/>
                <w:i/>
                <w:iCs/>
                <w:color w:val="000000"/>
              </w:rPr>
            </w:pPr>
            <w:hyperlink r:id="rId66">
              <w:r>
                <w:rPr>
                  <w:rFonts w:ascii="EB Garamond" w:eastAsia="EB Garamond" w:hAnsi="EB Garamond" w:cs="EB Garamond"/>
                  <w:i/>
                  <w:iCs/>
                  <w:color w:val="1155CC"/>
                  <w:u w:val="single"/>
                </w:rPr>
                <w:t>LICENSES – Nigerian Upstream Petroleum Regulatory Commission</w:t>
              </w:r>
            </w:hyperlink>
            <w:r>
              <w:rPr>
                <w:rFonts w:ascii="EB Garamond" w:eastAsia="EB Garamond" w:hAnsi="EB Garamond" w:cs="EB Garamond"/>
                <w:i/>
                <w:iCs/>
                <w:color w:val="000000"/>
              </w:rPr>
              <w:t>·</w:t>
            </w:r>
            <w:r>
              <w:rPr>
                <w:rFonts w:ascii="EB Garamond" w:eastAsia="EB Garamond" w:hAnsi="EB Garamond" w:cs="EB Garamond"/>
                <w:i/>
                <w:iCs/>
                <w:color w:val="000000"/>
                <w:sz w:val="14"/>
                <w:szCs w:val="14"/>
              </w:rPr>
              <w:t>    </w:t>
            </w:r>
          </w:p>
          <w:p w14:paraId="3B5E77E8" w14:textId="77777777" w:rsidR="00BB62F4" w:rsidRDefault="00000000">
            <w:pPr>
              <w:numPr>
                <w:ilvl w:val="0"/>
                <w:numId w:val="24"/>
              </w:numPr>
              <w:shd w:val="clear" w:color="auto" w:fill="FFFFFF"/>
              <w:spacing w:before="0" w:after="0"/>
              <w:rPr>
                <w:rFonts w:ascii="EB Garamond" w:eastAsia="EB Garamond" w:hAnsi="EB Garamond" w:cs="EB Garamond"/>
                <w:i/>
                <w:iCs/>
                <w:color w:val="000000"/>
              </w:rPr>
            </w:pPr>
            <w:hyperlink r:id="rId67">
              <w:r>
                <w:rPr>
                  <w:rFonts w:ascii="EB Garamond" w:eastAsia="EB Garamond" w:hAnsi="EB Garamond" w:cs="EB Garamond"/>
                  <w:i/>
                  <w:iCs/>
                  <w:color w:val="1155CC"/>
                  <w:u w:val="single"/>
                </w:rPr>
                <w:t>NUPRC-Concession-Situation-Final-Merged-@-1st-March-2026-v.1.pdf</w:t>
              </w:r>
            </w:hyperlink>
          </w:p>
          <w:p w14:paraId="322AC5F1" w14:textId="77777777" w:rsidR="00BB62F4" w:rsidRDefault="00000000">
            <w:pPr>
              <w:numPr>
                <w:ilvl w:val="0"/>
                <w:numId w:val="24"/>
              </w:numPr>
              <w:shd w:val="clear" w:color="auto" w:fill="FFFFFF"/>
              <w:spacing w:before="0" w:after="0"/>
              <w:rPr>
                <w:rFonts w:ascii="EB Garamond" w:eastAsia="EB Garamond" w:hAnsi="EB Garamond" w:cs="EB Garamond"/>
                <w:i/>
                <w:iCs/>
                <w:color w:val="000000"/>
              </w:rPr>
            </w:pPr>
            <w:hyperlink r:id="rId68">
              <w:r>
                <w:rPr>
                  <w:rFonts w:ascii="EB Garamond" w:eastAsia="EB Garamond" w:hAnsi="EB Garamond" w:cs="EB Garamond"/>
                  <w:i/>
                  <w:iCs/>
                  <w:color w:val="0000FF"/>
                  <w:u w:val="single"/>
                </w:rPr>
                <w:t>CONTRACTS ADMINISTRATION REGULATIONS</w:t>
              </w:r>
            </w:hyperlink>
          </w:p>
          <w:p w14:paraId="2DF86D0B" w14:textId="77777777" w:rsidR="00BB62F4" w:rsidRDefault="00000000">
            <w:pPr>
              <w:numPr>
                <w:ilvl w:val="0"/>
                <w:numId w:val="24"/>
              </w:numPr>
              <w:shd w:val="clear" w:color="auto" w:fill="FFFFFF"/>
              <w:spacing w:before="0" w:after="0"/>
              <w:rPr>
                <w:rFonts w:ascii="EB Garamond" w:eastAsia="EB Garamond" w:hAnsi="EB Garamond" w:cs="EB Garamond"/>
                <w:i/>
                <w:iCs/>
                <w:color w:val="000000"/>
              </w:rPr>
            </w:pPr>
            <w:hyperlink r:id="rId69">
              <w:r>
                <w:rPr>
                  <w:rFonts w:ascii="EB Garamond" w:eastAsia="EB Garamond" w:hAnsi="EB Garamond" w:cs="EB Garamond"/>
                  <w:i/>
                  <w:iCs/>
                  <w:color w:val="0000FF"/>
                  <w:u w:val="single"/>
                </w:rPr>
                <w:t>LICENSES AND CONTRACTS TRANSFER LIST</w:t>
              </w:r>
            </w:hyperlink>
          </w:p>
          <w:p w14:paraId="2E7C0535" w14:textId="77777777" w:rsidR="00BB62F4" w:rsidRDefault="00000000">
            <w:pPr>
              <w:numPr>
                <w:ilvl w:val="0"/>
                <w:numId w:val="24"/>
              </w:numPr>
              <w:shd w:val="clear" w:color="auto" w:fill="FFFFFF"/>
              <w:spacing w:before="0"/>
              <w:rPr>
                <w:rFonts w:ascii="EB Garamond" w:eastAsia="EB Garamond" w:hAnsi="EB Garamond" w:cs="EB Garamond"/>
                <w:i/>
                <w:iCs/>
                <w:color w:val="000000"/>
              </w:rPr>
            </w:pPr>
            <w:hyperlink r:id="rId70">
              <w:r>
                <w:rPr>
                  <w:rFonts w:ascii="EB Garamond" w:eastAsia="EB Garamond" w:hAnsi="EB Garamond" w:cs="EB Garamond"/>
                  <w:i/>
                  <w:iCs/>
                  <w:color w:val="0000FF"/>
                  <w:u w:val="single"/>
                </w:rPr>
                <w:t>https://www.nuprc.gov.ng/licenses/</w:t>
              </w:r>
            </w:hyperlink>
          </w:p>
          <w:p w14:paraId="66E07D4C"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4D33AB8B"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5248D2A7" w14:textId="77777777" w:rsidR="00BB62F4" w:rsidRDefault="00000000">
            <w:pPr>
              <w:numPr>
                <w:ilvl w:val="0"/>
                <w:numId w:val="16"/>
              </w:numPr>
              <w:pBdr>
                <w:top w:val="nil"/>
                <w:left w:val="nil"/>
                <w:bottom w:val="nil"/>
                <w:right w:val="nil"/>
                <w:between w:val="nil"/>
              </w:pBdr>
              <w:shd w:val="clear" w:color="auto" w:fill="FFFFFF"/>
              <w:rPr>
                <w:b/>
                <w:bCs/>
                <w:color w:val="000000"/>
              </w:rPr>
            </w:pPr>
            <w:hyperlink r:id="rId71">
              <w:r>
                <w:rPr>
                  <w:b/>
                  <w:bCs/>
                  <w:color w:val="0000FF"/>
                  <w:u w:val="single"/>
                </w:rPr>
                <w:t>NEITI 2023 Oil and Gas Industry Report</w:t>
              </w:r>
            </w:hyperlink>
            <w:r>
              <w:rPr>
                <w:b/>
                <w:bCs/>
                <w:color w:val="000000"/>
              </w:rPr>
              <w:t xml:space="preserve"> (Chapter 2, page 27)</w:t>
            </w:r>
          </w:p>
        </w:tc>
      </w:tr>
      <w:tr w:rsidR="00BB62F4" w14:paraId="30B1CDE4" w14:textId="77777777">
        <w:tc>
          <w:tcPr>
            <w:tcW w:w="1530" w:type="dxa"/>
            <w:tcBorders>
              <w:top w:val="nil"/>
              <w:left w:val="nil"/>
              <w:bottom w:val="single" w:sz="4" w:space="0" w:color="000000"/>
              <w:right w:val="nil"/>
            </w:tcBorders>
          </w:tcPr>
          <w:p w14:paraId="2747A1A3" w14:textId="77777777" w:rsidR="00BB62F4" w:rsidRDefault="00000000">
            <w:pPr>
              <w:rPr>
                <w:i/>
                <w:iCs/>
              </w:rPr>
            </w:pPr>
            <w:r>
              <w:rPr>
                <w:i/>
                <w:iCs/>
              </w:rPr>
              <w:lastRenderedPageBreak/>
              <w:t>Deviations</w:t>
            </w:r>
          </w:p>
          <w:p w14:paraId="0210ACAE" w14:textId="77777777" w:rsidR="00BB62F4" w:rsidRDefault="00000000">
            <w:pPr>
              <w:rPr>
                <w:i/>
                <w:iCs/>
              </w:rPr>
            </w:pPr>
            <w:r>
              <w:rPr>
                <w:i/>
                <w:iCs/>
              </w:rPr>
              <w:t>(2.2.a.iv)</w:t>
            </w:r>
          </w:p>
        </w:tc>
        <w:tc>
          <w:tcPr>
            <w:tcW w:w="6975" w:type="dxa"/>
            <w:tcBorders>
              <w:top w:val="nil"/>
              <w:left w:val="nil"/>
              <w:bottom w:val="single" w:sz="4" w:space="0" w:color="000000"/>
              <w:right w:val="nil"/>
            </w:tcBorders>
          </w:tcPr>
          <w:p w14:paraId="54BD471B" w14:textId="77777777" w:rsidR="00BB62F4" w:rsidRDefault="00000000">
            <w:r>
              <w:rPr>
                <w:b/>
                <w:bCs/>
              </w:rPr>
              <w:t>If licenses were allocated or transferred in the period under review</w:t>
            </w:r>
            <w:r>
              <w:t xml:space="preserve">, the implementing country must check if there were any deviations from the legal and regulatory framework, i.e. deviation from process, criteria, timeline, etc.  </w:t>
            </w:r>
          </w:p>
          <w:p w14:paraId="7C5DC3FA" w14:textId="77777777" w:rsidR="00BB62F4" w:rsidRDefault="00000000">
            <w:pPr>
              <w:rPr>
                <w:b/>
                <w:bCs/>
              </w:rPr>
            </w:pPr>
            <w:r>
              <w:rPr>
                <w:b/>
                <w:bCs/>
              </w:rPr>
              <w:t>Has the implementing country assessed if there were any deviations?</w:t>
            </w:r>
          </w:p>
          <w:p w14:paraId="3434579D" w14:textId="77777777" w:rsidR="00BB62F4" w:rsidRDefault="00000000">
            <w:pPr>
              <w:pBdr>
                <w:top w:val="nil"/>
                <w:left w:val="nil"/>
                <w:bottom w:val="nil"/>
                <w:right w:val="nil"/>
                <w:between w:val="nil"/>
              </w:pBdr>
              <w:ind w:left="360"/>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5711FD5F" w14:textId="77777777" w:rsidR="00BB62F4" w:rsidRDefault="00BB62F4"/>
          <w:p w14:paraId="68320F75" w14:textId="77777777" w:rsidR="00BB62F4" w:rsidRDefault="00000000">
            <w:pPr>
              <w:rPr>
                <w:b/>
                <w:bCs/>
              </w:rPr>
            </w:pPr>
            <w:r>
              <w:rPr>
                <w:b/>
                <w:bCs/>
              </w:rPr>
              <w:t xml:space="preserve">If </w:t>
            </w:r>
            <w:r>
              <w:rPr>
                <w:b/>
                <w:bCs/>
                <w:u w:val="single"/>
              </w:rPr>
              <w:t>yes</w:t>
            </w:r>
            <w:r>
              <w:rPr>
                <w:b/>
                <w:bCs/>
              </w:rPr>
              <w:t xml:space="preserve">: where is that </w:t>
            </w:r>
            <w:r>
              <w:rPr>
                <w:b/>
                <w:bCs/>
                <w:u w:val="single"/>
              </w:rPr>
              <w:t>assessment</w:t>
            </w:r>
            <w:r>
              <w:rPr>
                <w:b/>
                <w:bCs/>
              </w:rPr>
              <w:t xml:space="preserve"> available?</w:t>
            </w:r>
          </w:p>
          <w:p w14:paraId="6387F58F" w14:textId="77777777" w:rsidR="00BB62F4" w:rsidRDefault="00000000">
            <w:pPr>
              <w:pBdr>
                <w:top w:val="nil"/>
                <w:left w:val="nil"/>
                <w:bottom w:val="nil"/>
                <w:right w:val="nil"/>
                <w:between w:val="nil"/>
              </w:pBdr>
              <w:shd w:val="clear" w:color="auto" w:fill="FFFFFF"/>
              <w:ind w:left="-47"/>
              <w:rPr>
                <w:i/>
                <w:iCs/>
                <w:color w:val="000000"/>
              </w:rPr>
            </w:pPr>
            <w:r>
              <w:rPr>
                <w:i/>
                <w:iCs/>
                <w:color w:val="000000"/>
              </w:rPr>
              <w:t xml:space="preserve">Systematic disclosures: </w:t>
            </w:r>
          </w:p>
          <w:p w14:paraId="71E46B07" w14:textId="77777777" w:rsidR="00BB62F4" w:rsidRDefault="00000000">
            <w:pPr>
              <w:pBdr>
                <w:top w:val="nil"/>
                <w:left w:val="nil"/>
                <w:bottom w:val="nil"/>
                <w:right w:val="nil"/>
                <w:between w:val="nil"/>
              </w:pBdr>
              <w:shd w:val="clear" w:color="auto" w:fill="FFFFFF"/>
              <w:ind w:left="-47"/>
              <w:rPr>
                <w:rFonts w:ascii="EB Garamond Medium" w:eastAsia="EB Garamond Medium" w:hAnsi="EB Garamond Medium" w:cs="EB Garamond Medium"/>
                <w:color w:val="000000"/>
              </w:rPr>
            </w:pPr>
            <w:r>
              <w:rPr>
                <w:rFonts w:ascii="EB Garamond Medium" w:eastAsia="EB Garamond Medium" w:hAnsi="EB Garamond Medium" w:cs="EB Garamond Medium"/>
                <w:color w:val="000000"/>
              </w:rPr>
              <w:t xml:space="preserve">The NSWG has not conducted an independent material deviation assessment on license transfer only, but it </w:t>
            </w:r>
            <w:r>
              <w:rPr>
                <w:rFonts w:ascii="EB Garamond Medium" w:eastAsia="EB Garamond Medium" w:hAnsi="EB Garamond Medium" w:cs="EB Garamond Medium"/>
              </w:rPr>
              <w:t>has, however</w:t>
            </w:r>
            <w:r>
              <w:rPr>
                <w:rFonts w:ascii="EB Garamond Medium" w:eastAsia="EB Garamond Medium" w:hAnsi="EB Garamond Medium" w:cs="EB Garamond Medium"/>
                <w:color w:val="000000"/>
              </w:rPr>
              <w:t xml:space="preserve">, </w:t>
            </w:r>
            <w:r>
              <w:rPr>
                <w:rFonts w:ascii="EB Garamond Medium" w:eastAsia="EB Garamond Medium" w:hAnsi="EB Garamond Medium" w:cs="EB Garamond Medium"/>
              </w:rPr>
              <w:t>through a standalone</w:t>
            </w:r>
            <w:r>
              <w:rPr>
                <w:rFonts w:ascii="EB Garamond Medium" w:eastAsia="EB Garamond Medium" w:hAnsi="EB Garamond Medium" w:cs="EB Garamond Medium"/>
                <w:color w:val="000000"/>
              </w:rPr>
              <w:t xml:space="preserve"> report available </w:t>
            </w:r>
            <w:hyperlink r:id="rId72">
              <w:r>
                <w:rPr>
                  <w:rFonts w:ascii="EB Garamond Medium" w:eastAsia="EB Garamond Medium" w:hAnsi="EB Garamond Medium" w:cs="EB Garamond Medium"/>
                  <w:color w:val="0000FF"/>
                  <w:u w:val="single"/>
                </w:rPr>
                <w:t>here</w:t>
              </w:r>
            </w:hyperlink>
            <w:r>
              <w:rPr>
                <w:rFonts w:ascii="EB Garamond Medium" w:eastAsia="EB Garamond Medium" w:hAnsi="EB Garamond Medium" w:cs="EB Garamond Medium"/>
                <w:color w:val="000000"/>
              </w:rPr>
              <w:t>.</w:t>
            </w:r>
          </w:p>
          <w:p w14:paraId="62EAE3F3" w14:textId="77777777" w:rsidR="00BB62F4" w:rsidRDefault="00000000">
            <w:pPr>
              <w:pBdr>
                <w:top w:val="nil"/>
                <w:left w:val="nil"/>
                <w:bottom w:val="nil"/>
                <w:right w:val="nil"/>
                <w:between w:val="nil"/>
              </w:pBdr>
              <w:shd w:val="clear" w:color="auto" w:fill="FFFFFF"/>
              <w:ind w:left="-47"/>
              <w:rPr>
                <w:i/>
                <w:iCs/>
                <w:color w:val="000000"/>
              </w:rPr>
            </w:pPr>
            <w:r>
              <w:rPr>
                <w:i/>
                <w:iCs/>
                <w:color w:val="000000"/>
              </w:rPr>
              <w:t>AND / OR</w:t>
            </w:r>
          </w:p>
          <w:p w14:paraId="6837DD95" w14:textId="77777777" w:rsidR="00BB62F4" w:rsidRDefault="00000000">
            <w:pPr>
              <w:pBdr>
                <w:top w:val="nil"/>
                <w:left w:val="nil"/>
                <w:bottom w:val="nil"/>
                <w:right w:val="nil"/>
                <w:between w:val="nil"/>
              </w:pBdr>
              <w:shd w:val="clear" w:color="auto" w:fill="FFFFFF"/>
              <w:ind w:left="-47"/>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423C8415" w14:textId="77777777" w:rsidR="00BB62F4" w:rsidRDefault="00000000">
            <w:pPr>
              <w:numPr>
                <w:ilvl w:val="0"/>
                <w:numId w:val="16"/>
              </w:numPr>
              <w:pBdr>
                <w:top w:val="nil"/>
                <w:left w:val="nil"/>
                <w:bottom w:val="nil"/>
                <w:right w:val="nil"/>
                <w:between w:val="nil"/>
              </w:pBdr>
              <w:shd w:val="clear" w:color="auto" w:fill="FFFFFF"/>
              <w:rPr>
                <w:color w:val="000000"/>
                <w:shd w:val="clear" w:color="auto" w:fill="D9E2F3"/>
              </w:rPr>
            </w:pPr>
            <w:hyperlink r:id="rId73">
              <w:r>
                <w:rPr>
                  <w:color w:val="0000FF"/>
                  <w:u w:val="single"/>
                  <w:shd w:val="clear" w:color="auto" w:fill="D9E2F3"/>
                </w:rPr>
                <w:t>NEITI 2023 OIL AND GAS REPORT</w:t>
              </w:r>
            </w:hyperlink>
            <w:r>
              <w:rPr>
                <w:color w:val="000000"/>
                <w:shd w:val="clear" w:color="auto" w:fill="D9E2F3"/>
              </w:rPr>
              <w:t xml:space="preserve"> (Chapter 9 {Outcomes and Impact} page 103- </w:t>
            </w:r>
            <w:proofErr w:type="gramStart"/>
            <w:r>
              <w:rPr>
                <w:color w:val="000000"/>
                <w:shd w:val="clear" w:color="auto" w:fill="D9E2F3"/>
              </w:rPr>
              <w:t>B(</w:t>
            </w:r>
            <w:proofErr w:type="gramEnd"/>
            <w:r>
              <w:rPr>
                <w:color w:val="000000"/>
                <w:shd w:val="clear" w:color="auto" w:fill="D9E2F3"/>
              </w:rPr>
              <w:t>Transparency Component))</w:t>
            </w:r>
          </w:p>
          <w:p w14:paraId="26A3E323" w14:textId="77777777" w:rsidR="00BB62F4" w:rsidRDefault="00000000">
            <w:pPr>
              <w:rPr>
                <w:b/>
                <w:bCs/>
              </w:rPr>
            </w:pPr>
            <w:r>
              <w:rPr>
                <w:b/>
                <w:bCs/>
              </w:rPr>
              <w:br/>
              <w:t>If yes, what methodology was used to assess for deviations?</w:t>
            </w:r>
          </w:p>
          <w:p w14:paraId="784D7075" w14:textId="77777777" w:rsidR="00BB62F4" w:rsidRDefault="00000000">
            <w:pPr>
              <w:shd w:val="clear" w:color="auto" w:fill="D9E2F3"/>
            </w:pPr>
            <w:r>
              <w:t>Describe or provide reference where the methodology is described. This can include the authority’s own internal assessment, an assessment by a government oversight body or by the Independent Administrator.</w:t>
            </w:r>
          </w:p>
          <w:p w14:paraId="4DE021ED" w14:textId="77777777" w:rsidR="00BB62F4" w:rsidRDefault="00000000">
            <w:pPr>
              <w:numPr>
                <w:ilvl w:val="0"/>
                <w:numId w:val="16"/>
              </w:numPr>
              <w:pBdr>
                <w:top w:val="nil"/>
                <w:left w:val="nil"/>
                <w:bottom w:val="nil"/>
                <w:right w:val="nil"/>
                <w:between w:val="nil"/>
              </w:pBdr>
              <w:jc w:val="both"/>
              <w:rPr>
                <w:rFonts w:ascii="EB Garamond Medium" w:eastAsia="EB Garamond Medium" w:hAnsi="EB Garamond Medium" w:cs="EB Garamond Medium"/>
                <w:color w:val="000000"/>
              </w:rPr>
            </w:pPr>
            <w:r>
              <w:rPr>
                <w:rFonts w:ascii="EB Garamond Medium" w:eastAsia="EB Garamond Medium" w:hAnsi="EB Garamond Medium" w:cs="EB Garamond Medium"/>
                <w:color w:val="000000"/>
              </w:rPr>
              <w:t xml:space="preserve">NUPRC in 2023 utilized a compliance-based methodology to assess deviations in licence and contract transfers, which is primarily driven by the Petroleum Industry Act (PIA) 2021 and seven new </w:t>
            </w:r>
            <w:hyperlink r:id="rId74">
              <w:r>
                <w:rPr>
                  <w:rFonts w:ascii="EB Garamond Medium" w:eastAsia="EB Garamond Medium" w:hAnsi="EB Garamond Medium" w:cs="EB Garamond Medium"/>
                  <w:color w:val="0000FF"/>
                  <w:u w:val="single"/>
                </w:rPr>
                <w:t>regulations</w:t>
              </w:r>
            </w:hyperlink>
            <w:r>
              <w:rPr>
                <w:rFonts w:ascii="EB Garamond Medium" w:eastAsia="EB Garamond Medium" w:hAnsi="EB Garamond Medium" w:cs="EB Garamond Medium"/>
                <w:color w:val="000000"/>
              </w:rPr>
              <w:t xml:space="preserve"> issued in May 2023. Key Aspects of the 2023 Assessment Methodology include:</w:t>
            </w:r>
          </w:p>
          <w:p w14:paraId="2A8270D1" w14:textId="77777777" w:rsidR="00BB62F4" w:rsidRDefault="00000000">
            <w:pPr>
              <w:numPr>
                <w:ilvl w:val="0"/>
                <w:numId w:val="17"/>
              </w:numPr>
              <w:pBdr>
                <w:top w:val="nil"/>
                <w:left w:val="nil"/>
                <w:bottom w:val="nil"/>
                <w:right w:val="nil"/>
                <w:between w:val="nil"/>
              </w:pBdr>
              <w:rPr>
                <w:rFonts w:ascii="EB Garamond Medium" w:eastAsia="EB Garamond Medium" w:hAnsi="EB Garamond Medium" w:cs="EB Garamond Medium"/>
                <w:color w:val="000000"/>
              </w:rPr>
            </w:pPr>
            <w:r>
              <w:rPr>
                <w:rFonts w:ascii="EB Garamond Medium" w:eastAsia="EB Garamond Medium" w:hAnsi="EB Garamond Medium" w:cs="EB Garamond Medium"/>
                <w:color w:val="000000"/>
              </w:rPr>
              <w:t>Compliance Performance Assessment</w:t>
            </w:r>
          </w:p>
          <w:p w14:paraId="692ED518" w14:textId="77777777" w:rsidR="00BB62F4" w:rsidRDefault="00000000">
            <w:pPr>
              <w:pBdr>
                <w:top w:val="nil"/>
                <w:left w:val="nil"/>
                <w:bottom w:val="nil"/>
                <w:right w:val="nil"/>
                <w:between w:val="nil"/>
              </w:pBdr>
              <w:ind w:left="720"/>
              <w:rPr>
                <w:rFonts w:ascii="EB Garamond Medium" w:eastAsia="EB Garamond Medium" w:hAnsi="EB Garamond Medium" w:cs="EB Garamond Medium"/>
                <w:color w:val="000000"/>
              </w:rPr>
            </w:pPr>
            <w:r>
              <w:rPr>
                <w:rFonts w:ascii="EB Garamond Medium" w:eastAsia="EB Garamond Medium" w:hAnsi="EB Garamond Medium" w:cs="EB Garamond Medium"/>
                <w:color w:val="000000"/>
              </w:rPr>
              <w:t>(2) Due Diligence on Transfers</w:t>
            </w:r>
          </w:p>
          <w:p w14:paraId="44B1EB63" w14:textId="77777777" w:rsidR="00BB62F4" w:rsidRDefault="00000000">
            <w:pPr>
              <w:pBdr>
                <w:top w:val="nil"/>
                <w:left w:val="nil"/>
                <w:bottom w:val="nil"/>
                <w:right w:val="nil"/>
                <w:between w:val="nil"/>
              </w:pBdr>
              <w:ind w:left="720"/>
              <w:rPr>
                <w:rFonts w:ascii="EB Garamond Medium" w:eastAsia="EB Garamond Medium" w:hAnsi="EB Garamond Medium" w:cs="EB Garamond Medium"/>
                <w:color w:val="000000"/>
              </w:rPr>
            </w:pPr>
            <w:r>
              <w:rPr>
                <w:rFonts w:ascii="EB Garamond Medium" w:eastAsia="EB Garamond Medium" w:hAnsi="EB Garamond Medium" w:cs="EB Garamond Medium"/>
                <w:color w:val="000000"/>
              </w:rPr>
              <w:t>(3) Field Inspections and Monitoring</w:t>
            </w:r>
          </w:p>
          <w:p w14:paraId="789FFD7E" w14:textId="77777777" w:rsidR="00BB62F4" w:rsidRDefault="00000000">
            <w:pPr>
              <w:pBdr>
                <w:top w:val="nil"/>
                <w:left w:val="nil"/>
                <w:bottom w:val="nil"/>
                <w:right w:val="nil"/>
                <w:between w:val="nil"/>
              </w:pBdr>
              <w:ind w:left="720"/>
              <w:rPr>
                <w:rFonts w:ascii="EB Garamond Medium" w:eastAsia="EB Garamond Medium" w:hAnsi="EB Garamond Medium" w:cs="EB Garamond Medium"/>
                <w:color w:val="000000"/>
              </w:rPr>
            </w:pPr>
            <w:r>
              <w:rPr>
                <w:rFonts w:ascii="EB Garamond Medium" w:eastAsia="EB Garamond Medium" w:hAnsi="EB Garamond Medium" w:cs="EB Garamond Medium"/>
                <w:color w:val="000000"/>
              </w:rPr>
              <w:t>(4) Risk-Based Evaluation</w:t>
            </w:r>
          </w:p>
          <w:p w14:paraId="2CCCC462" w14:textId="77777777" w:rsidR="00BB62F4" w:rsidRDefault="00000000">
            <w:pPr>
              <w:numPr>
                <w:ilvl w:val="0"/>
                <w:numId w:val="18"/>
              </w:numPr>
              <w:pBdr>
                <w:top w:val="nil"/>
                <w:left w:val="nil"/>
                <w:bottom w:val="nil"/>
                <w:right w:val="nil"/>
                <w:between w:val="nil"/>
              </w:pBdr>
              <w:rPr>
                <w:rFonts w:ascii="EB Garamond Medium" w:eastAsia="EB Garamond Medium" w:hAnsi="EB Garamond Medium" w:cs="EB Garamond Medium"/>
                <w:color w:val="000000"/>
              </w:rPr>
            </w:pPr>
            <w:r>
              <w:rPr>
                <w:rFonts w:ascii="EB Garamond Medium" w:eastAsia="EB Garamond Medium" w:hAnsi="EB Garamond Medium" w:cs="EB Garamond Medium"/>
                <w:color w:val="000000"/>
              </w:rPr>
              <w:t>Regulatory Framework</w:t>
            </w:r>
          </w:p>
          <w:p w14:paraId="4696B5F3" w14:textId="77777777" w:rsidR="00BB62F4" w:rsidRDefault="00000000">
            <w:pPr>
              <w:rPr>
                <w:b/>
                <w:bCs/>
              </w:rPr>
            </w:pPr>
            <w:r>
              <w:rPr>
                <w:b/>
                <w:bCs/>
              </w:rPr>
              <w:t>Were there any deviations in</w:t>
            </w:r>
            <w:r>
              <w:t xml:space="preserve"> </w:t>
            </w:r>
            <w:r>
              <w:rPr>
                <w:b/>
                <w:bCs/>
              </w:rPr>
              <w:t xml:space="preserve">the </w:t>
            </w:r>
            <w:r>
              <w:rPr>
                <w:b/>
                <w:bCs/>
                <w:u w:val="single"/>
              </w:rPr>
              <w:t>awards</w:t>
            </w:r>
            <w:r>
              <w:rPr>
                <w:b/>
                <w:bCs/>
              </w:rPr>
              <w:t xml:space="preserve"> of license and/or contracts?</w:t>
            </w:r>
          </w:p>
          <w:p w14:paraId="1ECEF6A8" w14:textId="77777777" w:rsidR="00BB62F4" w:rsidRDefault="00000000">
            <w:pPr>
              <w:pBdr>
                <w:top w:val="nil"/>
                <w:left w:val="nil"/>
                <w:bottom w:val="nil"/>
                <w:right w:val="nil"/>
                <w:between w:val="nil"/>
              </w:pBdr>
              <w:ind w:left="360"/>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04D95A89" w14:textId="77777777" w:rsidR="00BB62F4" w:rsidRDefault="00000000">
            <w:r>
              <w:lastRenderedPageBreak/>
              <w:t xml:space="preserve">Were </w:t>
            </w:r>
            <w:proofErr w:type="gramStart"/>
            <w:r>
              <w:t>those material</w:t>
            </w:r>
            <w:proofErr w:type="gramEnd"/>
            <w:r>
              <w:t>?</w:t>
            </w:r>
            <w:r>
              <w:rPr>
                <w:vertAlign w:val="superscript"/>
              </w:rPr>
              <w:footnoteReference w:id="3"/>
            </w:r>
          </w:p>
          <w:p w14:paraId="2172E288" w14:textId="77777777" w:rsidR="00BB62F4" w:rsidRDefault="00000000">
            <w:pPr>
              <w:pBdr>
                <w:top w:val="nil"/>
                <w:left w:val="nil"/>
                <w:bottom w:val="nil"/>
                <w:right w:val="nil"/>
                <w:between w:val="nil"/>
              </w:pBdr>
              <w:ind w:left="360"/>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4F694E0D" w14:textId="77777777" w:rsidR="00BB62F4" w:rsidRDefault="00000000">
            <w:pPr>
              <w:rPr>
                <w:b/>
                <w:bCs/>
              </w:rPr>
            </w:pPr>
            <w:r>
              <w:rPr>
                <w:b/>
                <w:bCs/>
              </w:rPr>
              <w:br/>
              <w:t xml:space="preserve">Were there any deviations in the </w:t>
            </w:r>
            <w:r>
              <w:rPr>
                <w:b/>
                <w:bCs/>
                <w:u w:val="single"/>
              </w:rPr>
              <w:t>transfer</w:t>
            </w:r>
            <w:r>
              <w:rPr>
                <w:b/>
                <w:bCs/>
              </w:rPr>
              <w:t xml:space="preserve"> of licenses or contracts?</w:t>
            </w:r>
          </w:p>
          <w:p w14:paraId="15E42FFA" w14:textId="77777777" w:rsidR="00BB62F4" w:rsidRDefault="00000000">
            <w:pPr>
              <w:pBdr>
                <w:top w:val="nil"/>
                <w:left w:val="nil"/>
                <w:bottom w:val="nil"/>
                <w:right w:val="nil"/>
                <w:between w:val="nil"/>
              </w:pBdr>
              <w:ind w:left="360"/>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6E1148D5" w14:textId="77777777" w:rsidR="00BB62F4" w:rsidRDefault="00000000">
            <w:r>
              <w:t xml:space="preserve">Were </w:t>
            </w:r>
            <w:proofErr w:type="gramStart"/>
            <w:r>
              <w:t>those material</w:t>
            </w:r>
            <w:proofErr w:type="gramEnd"/>
            <w:r>
              <w:t>?</w:t>
            </w:r>
          </w:p>
          <w:p w14:paraId="28240A5E" w14:textId="77777777" w:rsidR="00BB62F4" w:rsidRDefault="00000000">
            <w:pPr>
              <w:pBdr>
                <w:top w:val="nil"/>
                <w:left w:val="nil"/>
                <w:bottom w:val="nil"/>
                <w:right w:val="nil"/>
                <w:between w:val="nil"/>
              </w:pBdr>
              <w:ind w:left="360"/>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09AE7CB6" w14:textId="77777777" w:rsidR="00BB62F4" w:rsidRDefault="00000000">
            <w:pPr>
              <w:rPr>
                <w:b/>
                <w:bCs/>
              </w:rPr>
            </w:pPr>
            <w:r>
              <w:rPr>
                <w:b/>
                <w:bCs/>
              </w:rPr>
              <w:br/>
              <w:t xml:space="preserve">If any of the above were responded with </w:t>
            </w:r>
            <w:r>
              <w:rPr>
                <w:b/>
                <w:bCs/>
                <w:u w:val="single"/>
              </w:rPr>
              <w:t>yes</w:t>
            </w:r>
            <w:r>
              <w:rPr>
                <w:b/>
                <w:bCs/>
              </w:rPr>
              <w:t>, where are those deviations described?</w:t>
            </w:r>
          </w:p>
          <w:p w14:paraId="05F30D50" w14:textId="77777777" w:rsidR="00BB62F4" w:rsidRDefault="00000000">
            <w:pPr>
              <w:pBdr>
                <w:top w:val="nil"/>
                <w:left w:val="nil"/>
                <w:bottom w:val="nil"/>
                <w:right w:val="nil"/>
                <w:between w:val="nil"/>
              </w:pBdr>
              <w:shd w:val="clear" w:color="auto" w:fill="FFFFFF"/>
              <w:ind w:left="-47"/>
              <w:rPr>
                <w:color w:val="0000FF"/>
                <w:shd w:val="clear" w:color="auto" w:fill="D9E2F3"/>
              </w:rPr>
            </w:pP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r>
              <w:rPr>
                <w:i/>
                <w:iCs/>
                <w:color w:val="0000FF"/>
                <w:u w:val="single"/>
                <w:shd w:val="clear" w:color="auto" w:fill="D9E2F3"/>
              </w:rPr>
              <w:t xml:space="preserve"> </w:t>
            </w:r>
            <w:r>
              <w:rPr>
                <w:color w:val="0000FF"/>
                <w:shd w:val="clear" w:color="auto" w:fill="D9E2F3"/>
              </w:rPr>
              <w:t xml:space="preserve"> </w:t>
            </w:r>
          </w:p>
          <w:p w14:paraId="58527C92" w14:textId="77777777" w:rsidR="00BB62F4" w:rsidRDefault="00000000">
            <w:pPr>
              <w:numPr>
                <w:ilvl w:val="0"/>
                <w:numId w:val="16"/>
              </w:numPr>
              <w:pBdr>
                <w:top w:val="nil"/>
                <w:left w:val="nil"/>
                <w:bottom w:val="nil"/>
                <w:right w:val="nil"/>
                <w:between w:val="nil"/>
              </w:pBdr>
              <w:shd w:val="clear" w:color="auto" w:fill="FFFFFF"/>
              <w:rPr>
                <w:color w:val="000000"/>
              </w:rPr>
            </w:pPr>
            <w:r>
              <w:rPr>
                <w:color w:val="000000"/>
              </w:rPr>
              <w:t xml:space="preserve">Based on information from NUPRC, there were no reported or officially recognized deviations of licensing guidelines in 2023. The NUPRC stated this through their link </w:t>
            </w:r>
            <w:hyperlink r:id="rId75" w:anchor=":~:text=The%20report%2C%20based%20on%20a,%2C%202021%2C%20and%20its%20regulations.">
              <w:r>
                <w:rPr>
                  <w:color w:val="0000FF"/>
                  <w:u w:val="single"/>
                </w:rPr>
                <w:t>(here)</w:t>
              </w:r>
            </w:hyperlink>
          </w:p>
          <w:p w14:paraId="6F81C3F4" w14:textId="77777777" w:rsidR="00BB62F4" w:rsidRDefault="00000000">
            <w:pPr>
              <w:pBdr>
                <w:top w:val="nil"/>
                <w:left w:val="nil"/>
                <w:bottom w:val="nil"/>
                <w:right w:val="nil"/>
                <w:between w:val="nil"/>
              </w:pBdr>
              <w:shd w:val="clear" w:color="auto" w:fill="FFFFFF"/>
              <w:ind w:left="-47"/>
              <w:rPr>
                <w:i/>
                <w:iCs/>
                <w:color w:val="000000"/>
              </w:rPr>
            </w:pPr>
            <w:r>
              <w:rPr>
                <w:i/>
                <w:iCs/>
                <w:color w:val="000000"/>
              </w:rPr>
              <w:t>AND / OR</w:t>
            </w:r>
          </w:p>
          <w:p w14:paraId="60475C74" w14:textId="77777777" w:rsidR="00BB62F4" w:rsidRDefault="00000000">
            <w:pPr>
              <w:pBdr>
                <w:top w:val="nil"/>
                <w:left w:val="nil"/>
                <w:bottom w:val="nil"/>
                <w:right w:val="nil"/>
                <w:between w:val="nil"/>
              </w:pBdr>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2CB2AEE0" w14:textId="77777777" w:rsidR="00BB62F4" w:rsidRDefault="00000000">
            <w:pPr>
              <w:numPr>
                <w:ilvl w:val="0"/>
                <w:numId w:val="16"/>
              </w:numPr>
              <w:pBdr>
                <w:top w:val="nil"/>
                <w:left w:val="nil"/>
                <w:bottom w:val="nil"/>
                <w:right w:val="nil"/>
                <w:between w:val="nil"/>
              </w:pBdr>
              <w:jc w:val="both"/>
              <w:rPr>
                <w:rFonts w:ascii="EB Garamond Medium" w:eastAsia="EB Garamond Medium" w:hAnsi="EB Garamond Medium" w:cs="EB Garamond Medium"/>
                <w:b/>
                <w:bCs/>
                <w:color w:val="000000"/>
              </w:rPr>
            </w:pPr>
            <w:hyperlink r:id="rId76">
              <w:r>
                <w:rPr>
                  <w:rFonts w:ascii="EB Garamond Medium" w:eastAsia="EB Garamond Medium" w:hAnsi="EB Garamond Medium" w:cs="EB Garamond Medium"/>
                  <w:color w:val="0000FF"/>
                  <w:u w:val="single"/>
                </w:rPr>
                <w:t>NEITI 2023 Oil and Gas Report</w:t>
              </w:r>
            </w:hyperlink>
            <w:r>
              <w:rPr>
                <w:rFonts w:ascii="EB Garamond Medium" w:eastAsia="EB Garamond Medium" w:hAnsi="EB Garamond Medium" w:cs="EB Garamond Medium"/>
                <w:color w:val="000000"/>
              </w:rPr>
              <w:t xml:space="preserve"> (Chapter 8 Table 84, S/No.2: Observations and Recommendations for 2022-2023 Extractive Reporting and Chapter 9, page 136) has identified procedural gaps and transparency issues regarding NUPRC’s licensing and contract disclosures. While not explicitly defining these as illegal breaches, the report highlighted weak implementation of Petroleum Industry Act (PIA) 2021 provisions and incomplete public disclosure of contracts.</w:t>
            </w:r>
          </w:p>
          <w:p w14:paraId="5DEB8DF5" w14:textId="77777777" w:rsidR="00BB62F4" w:rsidRDefault="00BB62F4">
            <w:pPr>
              <w:rPr>
                <w:b/>
                <w:bCs/>
              </w:rPr>
            </w:pPr>
          </w:p>
        </w:tc>
      </w:tr>
      <w:tr w:rsidR="00BB62F4" w14:paraId="038E3627" w14:textId="77777777">
        <w:trPr>
          <w:trHeight w:val="2798"/>
        </w:trPr>
        <w:tc>
          <w:tcPr>
            <w:tcW w:w="1530" w:type="dxa"/>
            <w:tcBorders>
              <w:top w:val="single" w:sz="4" w:space="0" w:color="000000"/>
              <w:left w:val="nil"/>
              <w:bottom w:val="nil"/>
              <w:right w:val="nil"/>
            </w:tcBorders>
          </w:tcPr>
          <w:p w14:paraId="30346E29" w14:textId="77777777" w:rsidR="00BB62F4" w:rsidRDefault="00000000">
            <w:pPr>
              <w:rPr>
                <w:i/>
                <w:iCs/>
              </w:rPr>
            </w:pPr>
            <w:r>
              <w:rPr>
                <w:i/>
                <w:iCs/>
              </w:rPr>
              <w:lastRenderedPageBreak/>
              <w:t>Assessment on comprehensiveness, reliability and timeliness of information</w:t>
            </w:r>
          </w:p>
        </w:tc>
        <w:tc>
          <w:tcPr>
            <w:tcW w:w="6975" w:type="dxa"/>
            <w:tcBorders>
              <w:top w:val="single" w:sz="4" w:space="0" w:color="000000"/>
              <w:left w:val="nil"/>
              <w:bottom w:val="nil"/>
              <w:right w:val="nil"/>
            </w:tcBorders>
          </w:tcPr>
          <w:p w14:paraId="6672D590" w14:textId="77777777" w:rsidR="00BB62F4" w:rsidRDefault="00000000">
            <w:pPr>
              <w:rPr>
                <w:b/>
                <w:bCs/>
              </w:rPr>
            </w:pPr>
            <w:r>
              <w:rPr>
                <w:b/>
                <w:bCs/>
              </w:rPr>
              <w:t>Do you or any stakeholders or MSG members have any concerns regarding the completeness, reliability or timeliness of the following:</w:t>
            </w:r>
          </w:p>
          <w:p w14:paraId="5E77D7C4" w14:textId="77777777" w:rsidR="00BB62F4" w:rsidRDefault="00000000">
            <w:r>
              <w:rPr>
                <w:b/>
                <w:bCs/>
              </w:rPr>
              <w:t>Information on the process for awarding and transferring licenses and contracts</w:t>
            </w:r>
            <w:r>
              <w:rPr>
                <w:vertAlign w:val="superscript"/>
              </w:rPr>
              <w:t xml:space="preserve"> </w:t>
            </w:r>
          </w:p>
          <w:p w14:paraId="369D6DF8"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 xml:space="preserve">No  </w:t>
            </w:r>
          </w:p>
          <w:p w14:paraId="50908EEC" w14:textId="77777777" w:rsidR="00BB62F4" w:rsidRDefault="00000000">
            <w:pPr>
              <w:rPr>
                <w:shd w:val="clear" w:color="auto" w:fill="D9E2F3"/>
              </w:rPr>
            </w:pPr>
            <w:r>
              <w:t xml:space="preserve">If </w:t>
            </w:r>
            <w:r>
              <w:rPr>
                <w:u w:val="single"/>
              </w:rPr>
              <w:t>yes</w:t>
            </w:r>
            <w:r>
              <w:t xml:space="preserve">, </w:t>
            </w:r>
            <w:r>
              <w:rPr>
                <w:shd w:val="clear" w:color="auto" w:fill="D9E2F3"/>
              </w:rPr>
              <w:t xml:space="preserve">please elaborate:  </w:t>
            </w:r>
            <w:proofErr w:type="spellStart"/>
            <w:r>
              <w:rPr>
                <w:shd w:val="clear" w:color="auto" w:fill="D9E2F3"/>
              </w:rPr>
              <w:t>ie</w:t>
            </w:r>
            <w:proofErr w:type="spellEnd"/>
            <w:r>
              <w:rPr>
                <w:shd w:val="clear" w:color="auto" w:fill="D9E2F3"/>
              </w:rPr>
              <w:t xml:space="preserve"> information is incomplete, incorrect</w:t>
            </w:r>
          </w:p>
          <w:p w14:paraId="54C7C6AE" w14:textId="77777777" w:rsidR="00BB62F4" w:rsidRDefault="00000000">
            <w:pPr>
              <w:numPr>
                <w:ilvl w:val="0"/>
                <w:numId w:val="16"/>
              </w:numPr>
              <w:pBdr>
                <w:top w:val="nil"/>
                <w:left w:val="nil"/>
                <w:bottom w:val="nil"/>
                <w:right w:val="nil"/>
                <w:between w:val="nil"/>
              </w:pBdr>
              <w:rPr>
                <w:color w:val="000000"/>
                <w:shd w:val="clear" w:color="auto" w:fill="D9E2F3"/>
              </w:rPr>
            </w:pPr>
            <w:hyperlink r:id="rId77">
              <w:r>
                <w:rPr>
                  <w:color w:val="0000FF"/>
                  <w:u w:val="single"/>
                </w:rPr>
                <w:t>NEITI 2023 Oil and Gas Report</w:t>
              </w:r>
            </w:hyperlink>
            <w:r>
              <w:rPr>
                <w:color w:val="000000"/>
              </w:rPr>
              <w:t xml:space="preserve"> (Chapter 8 Table 84, S/No.2: Observations and Recommendations for 2022-2023 Extractive Reporting and Chapter 9, page 136) has identified procedural gaps and transparency issues regarding NUPRC’s licensing and contract disclosures. While not explicitly defining these as illegal breaches, the report highlighted weak implementation of Petroleum Industry Act (PIA) 2021 provisions and incomplete public disclosure of contracts</w:t>
            </w:r>
          </w:p>
          <w:p w14:paraId="0F1DDDFA" w14:textId="77777777" w:rsidR="00BB62F4" w:rsidRDefault="00000000">
            <w:pPr>
              <w:rPr>
                <w:b/>
                <w:bCs/>
              </w:rPr>
            </w:pPr>
            <w:r>
              <w:rPr>
                <w:b/>
                <w:bCs/>
              </w:rPr>
              <w:t>Information on</w:t>
            </w:r>
            <w:r>
              <w:t xml:space="preserve"> </w:t>
            </w:r>
            <w:r>
              <w:rPr>
                <w:b/>
                <w:bCs/>
              </w:rPr>
              <w:t xml:space="preserve">the recipients of license and contract awards </w:t>
            </w:r>
          </w:p>
          <w:p w14:paraId="07D96E5B"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 xml:space="preserve">No  </w:t>
            </w:r>
          </w:p>
          <w:p w14:paraId="3B6B44D1" w14:textId="77777777" w:rsidR="00BB62F4" w:rsidRDefault="00000000">
            <w:r>
              <w:lastRenderedPageBreak/>
              <w:t xml:space="preserve">If </w:t>
            </w:r>
            <w:r>
              <w:rPr>
                <w:u w:val="single"/>
              </w:rPr>
              <w:t>yes</w:t>
            </w:r>
            <w:r>
              <w:t xml:space="preserve">, </w:t>
            </w:r>
            <w:r>
              <w:rPr>
                <w:shd w:val="clear" w:color="auto" w:fill="D9E2F3"/>
              </w:rPr>
              <w:t xml:space="preserve">please elaborate:  </w:t>
            </w:r>
            <w:proofErr w:type="spellStart"/>
            <w:r>
              <w:rPr>
                <w:shd w:val="clear" w:color="auto" w:fill="D9E2F3"/>
              </w:rPr>
              <w:t>ie</w:t>
            </w:r>
            <w:proofErr w:type="spellEnd"/>
            <w:r>
              <w:rPr>
                <w:shd w:val="clear" w:color="auto" w:fill="D9E2F3"/>
              </w:rPr>
              <w:t xml:space="preserve"> information on recipients is incomplete, not trustworthy or incorrect</w:t>
            </w:r>
            <w:r>
              <w:t xml:space="preserve"> </w:t>
            </w:r>
          </w:p>
          <w:p w14:paraId="1D3BE2C4" w14:textId="77777777" w:rsidR="00BB62F4" w:rsidRDefault="00000000">
            <w:pPr>
              <w:numPr>
                <w:ilvl w:val="0"/>
                <w:numId w:val="16"/>
              </w:numPr>
              <w:pBdr>
                <w:top w:val="nil"/>
                <w:left w:val="nil"/>
                <w:bottom w:val="nil"/>
                <w:right w:val="nil"/>
                <w:between w:val="nil"/>
              </w:pBdr>
              <w:rPr>
                <w:color w:val="000000"/>
                <w:shd w:val="clear" w:color="auto" w:fill="D9E2F3"/>
              </w:rPr>
            </w:pPr>
            <w:r>
              <w:rPr>
                <w:color w:val="000000"/>
              </w:rPr>
              <w:t xml:space="preserve">Upstream Register of License: It was observed that NUPRC have not publicly disclosed Register of Licenses. The examined publicly document titled “Concession Situation” does not meet the requirement of a Register as it does not contain the owners of those licenses, the location coordinates and the production arrangement (contract type) are not updated. Source: </w:t>
            </w:r>
            <w:hyperlink r:id="rId78">
              <w:r>
                <w:rPr>
                  <w:color w:val="0000FF"/>
                  <w:u w:val="single"/>
                </w:rPr>
                <w:t>NEITI 2023 Oil and Gas Report</w:t>
              </w:r>
            </w:hyperlink>
            <w:r>
              <w:rPr>
                <w:color w:val="000000"/>
              </w:rPr>
              <w:t xml:space="preserve"> (Chapter 9, Table 84, item 2: Observations and Recommendations for 2022-2023 Extractive Reporting).</w:t>
            </w:r>
          </w:p>
          <w:p w14:paraId="1D772EB4" w14:textId="77777777" w:rsidR="00BB62F4" w:rsidRDefault="00000000">
            <w:pPr>
              <w:rPr>
                <w:b/>
                <w:bCs/>
              </w:rPr>
            </w:pPr>
            <w:r>
              <w:rPr>
                <w:b/>
                <w:bCs/>
              </w:rPr>
              <w:t>If any of the questions were responded with yes, have those gaps been clearly identified, for example through EITI reporting?</w:t>
            </w:r>
          </w:p>
          <w:p w14:paraId="00477D65"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 xml:space="preserve">No </w:t>
            </w:r>
          </w:p>
          <w:p w14:paraId="51A2428A" w14:textId="77777777" w:rsidR="00BB62F4" w:rsidRDefault="00000000">
            <w:pPr>
              <w:shd w:val="clear" w:color="auto" w:fill="D9E2F3"/>
              <w:rPr>
                <w:b/>
                <w:bCs/>
              </w:rPr>
            </w:pPr>
            <w:r>
              <w:t>Describe</w:t>
            </w:r>
          </w:p>
          <w:p w14:paraId="58DF8079" w14:textId="77777777" w:rsidR="00BB62F4" w:rsidRDefault="00000000">
            <w:pPr>
              <w:numPr>
                <w:ilvl w:val="0"/>
                <w:numId w:val="16"/>
              </w:numPr>
              <w:pBdr>
                <w:top w:val="nil"/>
                <w:left w:val="nil"/>
                <w:bottom w:val="nil"/>
                <w:right w:val="nil"/>
                <w:between w:val="nil"/>
              </w:pBdr>
              <w:rPr>
                <w:b/>
                <w:bCs/>
                <w:color w:val="000000"/>
              </w:rPr>
            </w:pPr>
            <w:r>
              <w:rPr>
                <w:color w:val="000000"/>
              </w:rPr>
              <w:t>Non-compliance with sections 219, 222, 223, 224 of the PIA, 2021.</w:t>
            </w:r>
            <w:r>
              <w:rPr>
                <w:b/>
                <w:bCs/>
                <w:color w:val="000000"/>
              </w:rPr>
              <w:br/>
            </w:r>
            <w:hyperlink r:id="rId79">
              <w:r>
                <w:rPr>
                  <w:color w:val="0000FF"/>
                  <w:u w:val="single"/>
                </w:rPr>
                <w:t>NEITI 2023 Oil and Gas Report</w:t>
              </w:r>
            </w:hyperlink>
            <w:r>
              <w:rPr>
                <w:color w:val="000000"/>
              </w:rPr>
              <w:t xml:space="preserve"> (Chapter 9, Table 84, item 2: Observations and Recommendations for 2022-2023 Extractive Reporting).</w:t>
            </w:r>
          </w:p>
          <w:p w14:paraId="1150901B" w14:textId="77777777" w:rsidR="00BB62F4" w:rsidRDefault="00000000">
            <w:pPr>
              <w:rPr>
                <w:b/>
                <w:bCs/>
              </w:rPr>
            </w:pPr>
            <w:r>
              <w:rPr>
                <w:b/>
                <w:bCs/>
              </w:rPr>
              <w:t>Are there gaps on information on licenses that are due to legal or practical barriers?</w:t>
            </w:r>
          </w:p>
          <w:p w14:paraId="5AB50FBC"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6F29746A" w14:textId="77777777" w:rsidR="00BB62F4" w:rsidRDefault="00000000">
            <w:r>
              <w:t>If yes, explain plans to overcome barriers to disclosure of all of the above information:</w:t>
            </w:r>
          </w:p>
          <w:p w14:paraId="2463ED89" w14:textId="77777777" w:rsidR="00BB62F4" w:rsidRDefault="00000000">
            <w:pPr>
              <w:numPr>
                <w:ilvl w:val="0"/>
                <w:numId w:val="16"/>
              </w:numPr>
              <w:pBdr>
                <w:top w:val="nil"/>
                <w:left w:val="nil"/>
                <w:bottom w:val="nil"/>
                <w:right w:val="nil"/>
                <w:between w:val="nil"/>
              </w:pBdr>
              <w:rPr>
                <w:color w:val="000000"/>
              </w:rPr>
            </w:pPr>
            <w:r>
              <w:rPr>
                <w:color w:val="000000"/>
              </w:rPr>
              <w:t xml:space="preserve">Concession situation report is operational and on the Commission’s website. See </w:t>
            </w:r>
            <w:hyperlink r:id="rId80">
              <w:r>
                <w:rPr>
                  <w:color w:val="1155CC"/>
                  <w:u w:val="single"/>
                </w:rPr>
                <w:t>https://www.nuprc. gov.ng/</w:t>
              </w:r>
            </w:hyperlink>
            <w:r>
              <w:rPr>
                <w:color w:val="000000"/>
              </w:rPr>
              <w:t>. However, the portal is being upgraded to a Dynamic Acreage Management System (DAMS) as at 2023.</w:t>
            </w:r>
          </w:p>
          <w:p w14:paraId="289C7152" w14:textId="77777777" w:rsidR="00BB62F4" w:rsidRDefault="00000000">
            <w:pPr>
              <w:numPr>
                <w:ilvl w:val="0"/>
                <w:numId w:val="16"/>
              </w:numPr>
              <w:pBdr>
                <w:top w:val="nil"/>
                <w:left w:val="nil"/>
                <w:bottom w:val="nil"/>
                <w:right w:val="nil"/>
                <w:between w:val="nil"/>
              </w:pBdr>
              <w:rPr>
                <w:color w:val="000000"/>
              </w:rPr>
            </w:pPr>
            <w:r>
              <w:rPr>
                <w:color w:val="000000"/>
              </w:rPr>
              <w:t>NUPRC to establish and make publicly available comprehensive register incorporating the following</w:t>
            </w:r>
          </w:p>
          <w:p w14:paraId="14B41462" w14:textId="77777777" w:rsidR="00BB62F4" w:rsidRDefault="00000000">
            <w:pPr>
              <w:numPr>
                <w:ilvl w:val="0"/>
                <w:numId w:val="19"/>
              </w:numPr>
              <w:pBdr>
                <w:top w:val="nil"/>
                <w:left w:val="nil"/>
                <w:bottom w:val="nil"/>
                <w:right w:val="nil"/>
                <w:between w:val="nil"/>
              </w:pBdr>
            </w:pPr>
            <w:r>
              <w:rPr>
                <w:color w:val="000000"/>
              </w:rPr>
              <w:t xml:space="preserve">Leases, licenses, permits and authorization issued, revoked, suspended, surrendered or withdrawn with any modification or exemptions granted. </w:t>
            </w:r>
          </w:p>
          <w:p w14:paraId="5B7EB2EA" w14:textId="77777777" w:rsidR="00BB62F4" w:rsidRDefault="00000000">
            <w:pPr>
              <w:numPr>
                <w:ilvl w:val="0"/>
                <w:numId w:val="19"/>
              </w:numPr>
              <w:pBdr>
                <w:top w:val="nil"/>
                <w:left w:val="nil"/>
                <w:bottom w:val="nil"/>
                <w:right w:val="nil"/>
                <w:between w:val="nil"/>
              </w:pBdr>
            </w:pPr>
            <w:r>
              <w:rPr>
                <w:color w:val="000000"/>
              </w:rPr>
              <w:t xml:space="preserve">Extension, transfer, surrender and revocation. </w:t>
            </w:r>
          </w:p>
          <w:p w14:paraId="26A2A781" w14:textId="77777777" w:rsidR="00BB62F4" w:rsidRDefault="00000000">
            <w:pPr>
              <w:numPr>
                <w:ilvl w:val="0"/>
                <w:numId w:val="19"/>
              </w:numPr>
              <w:pBdr>
                <w:top w:val="nil"/>
                <w:left w:val="nil"/>
                <w:bottom w:val="nil"/>
                <w:right w:val="nil"/>
                <w:between w:val="nil"/>
              </w:pBdr>
            </w:pPr>
            <w:r>
              <w:rPr>
                <w:color w:val="000000"/>
              </w:rPr>
              <w:t xml:space="preserve">Exemption and relinquishment </w:t>
            </w:r>
          </w:p>
          <w:p w14:paraId="4900DA4D" w14:textId="77777777" w:rsidR="00BB62F4" w:rsidRDefault="00000000">
            <w:pPr>
              <w:numPr>
                <w:ilvl w:val="0"/>
                <w:numId w:val="19"/>
              </w:numPr>
              <w:pBdr>
                <w:top w:val="nil"/>
                <w:left w:val="nil"/>
                <w:bottom w:val="nil"/>
                <w:right w:val="nil"/>
                <w:between w:val="nil"/>
              </w:pBdr>
            </w:pPr>
            <w:r>
              <w:rPr>
                <w:color w:val="000000"/>
              </w:rPr>
              <w:t xml:space="preserve">Change of address and name </w:t>
            </w:r>
          </w:p>
          <w:p w14:paraId="40C39F07" w14:textId="77777777" w:rsidR="00BB62F4" w:rsidRDefault="00000000">
            <w:pPr>
              <w:numPr>
                <w:ilvl w:val="0"/>
                <w:numId w:val="19"/>
              </w:numPr>
              <w:pBdr>
                <w:top w:val="nil"/>
                <w:left w:val="nil"/>
                <w:bottom w:val="nil"/>
                <w:right w:val="nil"/>
                <w:between w:val="nil"/>
              </w:pBdr>
            </w:pPr>
            <w:r>
              <w:rPr>
                <w:color w:val="000000"/>
              </w:rPr>
              <w:t xml:space="preserve">Other matter affecting the status of interest. </w:t>
            </w:r>
          </w:p>
          <w:p w14:paraId="2BB8AE54" w14:textId="77777777" w:rsidR="00BB62F4" w:rsidRDefault="00000000">
            <w:pPr>
              <w:numPr>
                <w:ilvl w:val="0"/>
                <w:numId w:val="19"/>
              </w:numPr>
              <w:pBdr>
                <w:top w:val="nil"/>
                <w:left w:val="nil"/>
                <w:bottom w:val="nil"/>
                <w:right w:val="nil"/>
                <w:between w:val="nil"/>
              </w:pBdr>
            </w:pPr>
            <w:r>
              <w:rPr>
                <w:color w:val="000000"/>
              </w:rPr>
              <w:t>Description of the rights vested in the person(s) named as the holder.</w:t>
            </w:r>
          </w:p>
          <w:p w14:paraId="67049DBC" w14:textId="77777777" w:rsidR="00BB62F4" w:rsidRDefault="00000000">
            <w:pPr>
              <w:numPr>
                <w:ilvl w:val="0"/>
                <w:numId w:val="19"/>
              </w:numPr>
              <w:pBdr>
                <w:top w:val="nil"/>
                <w:left w:val="nil"/>
                <w:bottom w:val="nil"/>
                <w:right w:val="nil"/>
                <w:between w:val="nil"/>
              </w:pBdr>
            </w:pPr>
            <w:r>
              <w:rPr>
                <w:color w:val="000000"/>
              </w:rPr>
              <w:t xml:space="preserve">Conditions and other provisions the holder </w:t>
            </w:r>
            <w:proofErr w:type="gramStart"/>
            <w:r>
              <w:rPr>
                <w:color w:val="000000"/>
              </w:rPr>
              <w:t>is</w:t>
            </w:r>
            <w:proofErr w:type="gramEnd"/>
            <w:r>
              <w:rPr>
                <w:color w:val="000000"/>
              </w:rPr>
              <w:t xml:space="preserve"> subjected to.</w:t>
            </w:r>
          </w:p>
          <w:p w14:paraId="3724319B" w14:textId="77777777" w:rsidR="00BB62F4" w:rsidRDefault="00000000">
            <w:pPr>
              <w:numPr>
                <w:ilvl w:val="0"/>
                <w:numId w:val="19"/>
              </w:numPr>
              <w:pBdr>
                <w:top w:val="nil"/>
                <w:left w:val="nil"/>
                <w:bottom w:val="nil"/>
                <w:right w:val="nil"/>
                <w:between w:val="nil"/>
              </w:pBdr>
              <w:ind w:left="0" w:right="1185"/>
            </w:pPr>
            <w:r>
              <w:rPr>
                <w:color w:val="000000"/>
              </w:rPr>
              <w:t>Public accessibility during designated hours and days</w:t>
            </w:r>
          </w:p>
          <w:p w14:paraId="028FC7E7" w14:textId="77777777" w:rsidR="00BB62F4" w:rsidRDefault="00000000">
            <w:pPr>
              <w:numPr>
                <w:ilvl w:val="0"/>
                <w:numId w:val="19"/>
              </w:numPr>
              <w:pBdr>
                <w:top w:val="nil"/>
                <w:left w:val="nil"/>
                <w:bottom w:val="nil"/>
                <w:right w:val="nil"/>
                <w:between w:val="nil"/>
              </w:pBdr>
            </w:pPr>
            <w:r>
              <w:rPr>
                <w:color w:val="000000"/>
              </w:rPr>
              <w:t>Electronically up to date</w:t>
            </w:r>
          </w:p>
          <w:p w14:paraId="60F48C0F" w14:textId="77777777" w:rsidR="00BB62F4" w:rsidRDefault="00000000">
            <w:r>
              <w:rPr>
                <w:b/>
                <w:bCs/>
              </w:rPr>
              <w:lastRenderedPageBreak/>
              <w:t>Source:</w:t>
            </w:r>
            <w:r>
              <w:t xml:space="preserve"> </w:t>
            </w:r>
            <w:hyperlink r:id="rId81">
              <w:r>
                <w:rPr>
                  <w:color w:val="0000FF"/>
                  <w:u w:val="single"/>
                </w:rPr>
                <w:t>NEITI 2023 Oil and Gas Report</w:t>
              </w:r>
            </w:hyperlink>
            <w:r>
              <w:t xml:space="preserve"> (Chapter 9, Table 84, item 2: Observations and Recommendations for 2022-2023 Extractive Reporting).</w:t>
            </w:r>
          </w:p>
          <w:p w14:paraId="20ADFC90" w14:textId="77777777" w:rsidR="00BB62F4" w:rsidRDefault="00BB62F4"/>
          <w:p w14:paraId="4DBED403" w14:textId="77777777" w:rsidR="00BB62F4" w:rsidRDefault="00000000">
            <w:pPr>
              <w:shd w:val="clear" w:color="auto" w:fill="D9E2F3"/>
              <w:rPr>
                <w:i/>
                <w:iCs/>
              </w:rPr>
            </w:pPr>
            <w:r>
              <w:t xml:space="preserve">Explain: </w:t>
            </w:r>
            <w:r>
              <w:rPr>
                <w:i/>
                <w:iCs/>
              </w:rPr>
              <w:t>can include a reference to work plan activities, MSG meeting minutes etc.</w:t>
            </w:r>
          </w:p>
          <w:p w14:paraId="2CD85DAB" w14:textId="77777777" w:rsidR="00BB62F4" w:rsidRDefault="00BB62F4">
            <w:pPr>
              <w:pBdr>
                <w:top w:val="nil"/>
                <w:left w:val="nil"/>
                <w:bottom w:val="nil"/>
                <w:right w:val="nil"/>
                <w:between w:val="nil"/>
              </w:pBdr>
              <w:ind w:left="360"/>
              <w:rPr>
                <w:i/>
                <w:iCs/>
                <w:color w:val="000000"/>
              </w:rPr>
            </w:pPr>
          </w:p>
        </w:tc>
      </w:tr>
      <w:tr w:rsidR="00BB62F4" w14:paraId="110D27BD" w14:textId="77777777">
        <w:tc>
          <w:tcPr>
            <w:tcW w:w="1530" w:type="dxa"/>
            <w:tcBorders>
              <w:top w:val="single" w:sz="4" w:space="0" w:color="000000"/>
              <w:left w:val="nil"/>
              <w:bottom w:val="nil"/>
              <w:right w:val="nil"/>
            </w:tcBorders>
            <w:shd w:val="clear" w:color="auto" w:fill="B4C6E7"/>
          </w:tcPr>
          <w:p w14:paraId="01C01F28" w14:textId="77777777" w:rsidR="00BB62F4" w:rsidRDefault="00000000">
            <w:pPr>
              <w:rPr>
                <w:i/>
                <w:iCs/>
              </w:rPr>
            </w:pPr>
            <w:r>
              <w:rPr>
                <w:b/>
                <w:bCs/>
              </w:rPr>
              <w:lastRenderedPageBreak/>
              <w:t>Required if applicable</w:t>
            </w:r>
          </w:p>
        </w:tc>
        <w:tc>
          <w:tcPr>
            <w:tcW w:w="6975" w:type="dxa"/>
            <w:tcBorders>
              <w:top w:val="single" w:sz="4" w:space="0" w:color="000000"/>
              <w:left w:val="nil"/>
              <w:bottom w:val="nil"/>
              <w:right w:val="nil"/>
            </w:tcBorders>
            <w:shd w:val="clear" w:color="auto" w:fill="B4C6E7"/>
          </w:tcPr>
          <w:p w14:paraId="427802B8" w14:textId="77777777" w:rsidR="00BB62F4" w:rsidRDefault="00000000">
            <w:pPr>
              <w:rPr>
                <w:b/>
                <w:bCs/>
              </w:rPr>
            </w:pPr>
            <w:r>
              <w:rPr>
                <w:b/>
                <w:bCs/>
              </w:rPr>
              <w:t>2.2.c - Licenses awarded through a bidding process</w:t>
            </w:r>
          </w:p>
        </w:tc>
      </w:tr>
      <w:tr w:rsidR="00BB62F4" w14:paraId="2039BDC7" w14:textId="77777777">
        <w:tc>
          <w:tcPr>
            <w:tcW w:w="1530" w:type="dxa"/>
            <w:tcBorders>
              <w:top w:val="single" w:sz="4" w:space="0" w:color="000000"/>
              <w:left w:val="nil"/>
              <w:bottom w:val="nil"/>
              <w:right w:val="nil"/>
            </w:tcBorders>
          </w:tcPr>
          <w:p w14:paraId="40BA2E70" w14:textId="77777777" w:rsidR="00BB62F4" w:rsidRDefault="00000000">
            <w:pPr>
              <w:rPr>
                <w:i/>
                <w:iCs/>
              </w:rPr>
            </w:pPr>
            <w:r>
              <w:rPr>
                <w:i/>
                <w:iCs/>
              </w:rPr>
              <w:t>Applicability</w:t>
            </w:r>
            <w:r>
              <w:rPr>
                <w:i/>
                <w:iCs/>
              </w:rPr>
              <w:br/>
              <w:t xml:space="preserve">2.2.c - Licenses awarded through a bidding process - </w:t>
            </w:r>
          </w:p>
        </w:tc>
        <w:tc>
          <w:tcPr>
            <w:tcW w:w="6975" w:type="dxa"/>
            <w:tcBorders>
              <w:top w:val="single" w:sz="4" w:space="0" w:color="000000"/>
              <w:left w:val="nil"/>
              <w:bottom w:val="nil"/>
              <w:right w:val="nil"/>
            </w:tcBorders>
          </w:tcPr>
          <w:p w14:paraId="4194620B" w14:textId="77777777" w:rsidR="00BB62F4" w:rsidRDefault="00000000">
            <w:pPr>
              <w:rPr>
                <w:color w:val="D0CECE"/>
              </w:rPr>
            </w:pPr>
            <w:r>
              <w:t xml:space="preserve">This section pertains to instances </w:t>
            </w:r>
            <w:proofErr w:type="gramStart"/>
            <w:r>
              <w:t xml:space="preserve">where  </w:t>
            </w:r>
            <w:r>
              <w:rPr>
                <w:highlight w:val="lightGray"/>
              </w:rPr>
              <w:t>Choose</w:t>
            </w:r>
            <w:proofErr w:type="gramEnd"/>
            <w:r>
              <w:rPr>
                <w:highlight w:val="lightGray"/>
              </w:rPr>
              <w:t xml:space="preserve"> an item.</w:t>
            </w:r>
            <w:r>
              <w:t xml:space="preserve"> </w:t>
            </w:r>
            <w:r>
              <w:rPr>
                <w:b/>
                <w:bCs/>
              </w:rPr>
              <w:t>bidding processes occurred during the EITI reporting cycle</w:t>
            </w:r>
            <w:r>
              <w:t xml:space="preserve"> (</w:t>
            </w:r>
            <w:hyperlink w:anchor="_heading=h.mgq0sbldaoe">
              <w:r>
                <w:rPr>
                  <w:color w:val="0000FF"/>
                  <w:u w:val="single"/>
                </w:rPr>
                <w:t>see question above</w:t>
              </w:r>
            </w:hyperlink>
            <w:r>
              <w:t xml:space="preserve">). </w:t>
            </w:r>
            <w:r>
              <w:rPr>
                <w:color w:val="808080"/>
              </w:rPr>
              <w:t>If bidding is not applicable to your country, you can note “not applicable” and move on to the next section.</w:t>
            </w:r>
          </w:p>
          <w:p w14:paraId="7482144A" w14:textId="77777777" w:rsidR="00BB62F4" w:rsidRDefault="00000000">
            <w:pPr>
              <w:rPr>
                <w:b/>
                <w:bCs/>
              </w:rPr>
            </w:pPr>
            <w:r>
              <w:rPr>
                <w:b/>
                <w:bCs/>
              </w:rPr>
              <w:t>Were any licenses awarded through a bidding process?</w:t>
            </w:r>
          </w:p>
          <w:p w14:paraId="3D5141FC"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 xml:space="preserve">No   </w:t>
            </w:r>
            <w:r>
              <w:rPr>
                <w:rFonts w:ascii="MS Gothic" w:eastAsia="MS Gothic" w:hAnsi="MS Gothic" w:cs="MS Gothic"/>
              </w:rPr>
              <w:t xml:space="preserve">☐ </w:t>
            </w:r>
            <w:r>
              <w:rPr>
                <w:shd w:val="clear" w:color="auto" w:fill="D9E2F3"/>
              </w:rPr>
              <w:t>Not applicable</w:t>
            </w:r>
          </w:p>
          <w:p w14:paraId="715D37FC" w14:textId="77777777" w:rsidR="00BB62F4" w:rsidRDefault="00000000">
            <w:pPr>
              <w:shd w:val="clear" w:color="auto" w:fill="D9E2F3"/>
            </w:pPr>
            <w:r>
              <w:t>Elaborate, i.e. the bidding round(s)</w:t>
            </w:r>
          </w:p>
        </w:tc>
      </w:tr>
      <w:tr w:rsidR="00BB62F4" w14:paraId="02F12726" w14:textId="77777777">
        <w:tc>
          <w:tcPr>
            <w:tcW w:w="1530" w:type="dxa"/>
            <w:tcBorders>
              <w:top w:val="single" w:sz="4" w:space="0" w:color="000000"/>
              <w:left w:val="nil"/>
              <w:bottom w:val="nil"/>
              <w:right w:val="nil"/>
            </w:tcBorders>
          </w:tcPr>
          <w:p w14:paraId="62323F40" w14:textId="77777777" w:rsidR="00BB62F4" w:rsidRDefault="00000000">
            <w:pPr>
              <w:rPr>
                <w:i/>
                <w:iCs/>
              </w:rPr>
            </w:pPr>
            <w:r>
              <w:rPr>
                <w:i/>
                <w:iCs/>
              </w:rPr>
              <w:t>Available information on bidders</w:t>
            </w:r>
          </w:p>
        </w:tc>
        <w:tc>
          <w:tcPr>
            <w:tcW w:w="6975" w:type="dxa"/>
            <w:tcBorders>
              <w:top w:val="single" w:sz="4" w:space="0" w:color="000000"/>
              <w:left w:val="nil"/>
              <w:bottom w:val="nil"/>
              <w:right w:val="nil"/>
            </w:tcBorders>
          </w:tcPr>
          <w:p w14:paraId="3CB170C9" w14:textId="77777777" w:rsidR="00BB62F4" w:rsidRDefault="00000000">
            <w:pPr>
              <w:rPr>
                <w:b/>
                <w:bCs/>
              </w:rPr>
            </w:pPr>
            <w:r>
              <w:rPr>
                <w:b/>
                <w:bCs/>
              </w:rPr>
              <w:t xml:space="preserve">If </w:t>
            </w:r>
            <w:r>
              <w:rPr>
                <w:b/>
                <w:bCs/>
                <w:u w:val="single"/>
              </w:rPr>
              <w:t>yes</w:t>
            </w:r>
            <w:r>
              <w:rPr>
                <w:b/>
                <w:bCs/>
              </w:rPr>
              <w:t>, was any of this information publicly disclosed?</w:t>
            </w:r>
          </w:p>
          <w:p w14:paraId="7E40B67E" w14:textId="77777777" w:rsidR="00BB62F4" w:rsidRDefault="00000000">
            <w:pPr>
              <w:numPr>
                <w:ilvl w:val="0"/>
                <w:numId w:val="22"/>
              </w:numPr>
              <w:pBdr>
                <w:top w:val="nil"/>
                <w:left w:val="nil"/>
                <w:bottom w:val="nil"/>
                <w:right w:val="nil"/>
                <w:between w:val="nil"/>
              </w:pBdr>
              <w:rPr>
                <w:color w:val="000000"/>
              </w:rPr>
            </w:pPr>
            <w:r>
              <w:rPr>
                <w:b/>
                <w:bCs/>
                <w:color w:val="000000"/>
              </w:rPr>
              <w:t xml:space="preserve">The full list of </w:t>
            </w:r>
            <w:proofErr w:type="gramStart"/>
            <w:r>
              <w:rPr>
                <w:b/>
                <w:bCs/>
                <w:color w:val="000000"/>
              </w:rPr>
              <w:t>applicants</w:t>
            </w:r>
            <w:r>
              <w:rPr>
                <w:color w:val="000000"/>
              </w:rPr>
              <w:t xml:space="preserve">  </w:t>
            </w:r>
            <w:r>
              <w:rPr>
                <w:rFonts w:ascii="MS Gothic" w:eastAsia="MS Gothic" w:hAnsi="MS Gothic" w:cs="MS Gothic"/>
                <w:color w:val="000000"/>
              </w:rPr>
              <w:t>☒</w:t>
            </w:r>
            <w:proofErr w:type="gramEnd"/>
            <w:r>
              <w:rPr>
                <w:color w:val="000000"/>
              </w:rPr>
              <w:t xml:space="preserve"> </w:t>
            </w:r>
            <w:r>
              <w:rPr>
                <w:color w:val="000000"/>
                <w:shd w:val="clear" w:color="auto" w:fill="D9E2F3"/>
              </w:rPr>
              <w:t xml:space="preserve">Yes </w:t>
            </w:r>
            <w:r>
              <w:rPr>
                <w:color w:val="000000"/>
              </w:rPr>
              <w:t xml:space="preserve">  </w:t>
            </w:r>
            <w:r>
              <w:rPr>
                <w:rFonts w:ascii="MS Gothic" w:eastAsia="MS Gothic" w:hAnsi="MS Gothic" w:cs="MS Gothic"/>
                <w:color w:val="000000"/>
              </w:rPr>
              <w:t>☐</w:t>
            </w:r>
            <w:r>
              <w:rPr>
                <w:color w:val="000000"/>
                <w:shd w:val="clear" w:color="auto" w:fill="D9E2F3"/>
              </w:rPr>
              <w:t>No</w:t>
            </w:r>
          </w:p>
          <w:p w14:paraId="13A5FA0F" w14:textId="77777777" w:rsidR="00BB62F4" w:rsidRDefault="00000000">
            <w:pPr>
              <w:pBdr>
                <w:top w:val="nil"/>
                <w:left w:val="nil"/>
                <w:bottom w:val="nil"/>
                <w:right w:val="nil"/>
                <w:between w:val="nil"/>
              </w:pBdr>
              <w:shd w:val="clear" w:color="auto" w:fill="FFFFFF"/>
              <w:ind w:left="360"/>
              <w:rPr>
                <w:i/>
                <w:iCs/>
                <w:color w:val="0000FF"/>
                <w:u w:val="single"/>
                <w:shd w:val="clear" w:color="auto" w:fill="D9E2F3"/>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6176D5B5" w14:textId="77777777" w:rsidR="00BB62F4" w:rsidRDefault="00000000">
            <w:pPr>
              <w:numPr>
                <w:ilvl w:val="0"/>
                <w:numId w:val="25"/>
              </w:numPr>
              <w:pBdr>
                <w:top w:val="nil"/>
                <w:left w:val="nil"/>
                <w:bottom w:val="nil"/>
                <w:right w:val="nil"/>
                <w:between w:val="nil"/>
              </w:pBdr>
              <w:shd w:val="clear" w:color="auto" w:fill="FFFFFF"/>
              <w:rPr>
                <w:color w:val="000000"/>
              </w:rPr>
            </w:pPr>
            <w:r>
              <w:rPr>
                <w:color w:val="000000"/>
              </w:rPr>
              <w:t>In 2023, NUPRC (The Commission) conducted two licensing activities:</w:t>
            </w:r>
          </w:p>
          <w:p w14:paraId="26F16CCD" w14:textId="77777777" w:rsidR="00BB62F4" w:rsidRDefault="00000000">
            <w:pPr>
              <w:numPr>
                <w:ilvl w:val="0"/>
                <w:numId w:val="25"/>
              </w:numPr>
              <w:pBdr>
                <w:top w:val="nil"/>
                <w:left w:val="nil"/>
                <w:bottom w:val="nil"/>
                <w:right w:val="nil"/>
                <w:between w:val="nil"/>
              </w:pBdr>
              <w:shd w:val="clear" w:color="auto" w:fill="FFFFFF"/>
              <w:rPr>
                <w:color w:val="000000"/>
              </w:rPr>
            </w:pPr>
            <w:hyperlink r:id="rId82">
              <w:r>
                <w:rPr>
                  <w:color w:val="0000FF"/>
                  <w:u w:val="single"/>
                </w:rPr>
                <w:t>2022/2023 Mini Bid Round</w:t>
              </w:r>
            </w:hyperlink>
          </w:p>
          <w:p w14:paraId="16E7CB78" w14:textId="77777777" w:rsidR="00BB62F4" w:rsidRDefault="00000000">
            <w:pPr>
              <w:numPr>
                <w:ilvl w:val="0"/>
                <w:numId w:val="25"/>
              </w:numPr>
              <w:pBdr>
                <w:top w:val="nil"/>
                <w:left w:val="nil"/>
                <w:bottom w:val="nil"/>
                <w:right w:val="nil"/>
                <w:between w:val="nil"/>
              </w:pBdr>
              <w:shd w:val="clear" w:color="auto" w:fill="FFFFFF"/>
              <w:spacing w:after="0"/>
              <w:rPr>
                <w:rFonts w:ascii="EB Garamond" w:eastAsia="EB Garamond" w:hAnsi="EB Garamond" w:cs="EB Garamond"/>
                <w:color w:val="000000"/>
              </w:rPr>
            </w:pPr>
            <w:hyperlink r:id="rId83">
              <w:r>
                <w:rPr>
                  <w:rFonts w:ascii="EB Garamond" w:eastAsia="EB Garamond" w:hAnsi="EB Garamond" w:cs="EB Garamond"/>
                  <w:color w:val="0000FF"/>
                  <w:u w:val="single"/>
                </w:rPr>
                <w:t xml:space="preserve">BID </w:t>
              </w:r>
              <w:proofErr w:type="gramStart"/>
              <w:r>
                <w:rPr>
                  <w:rFonts w:ascii="EB Garamond" w:eastAsia="EB Garamond" w:hAnsi="EB Garamond" w:cs="EB Garamond"/>
                  <w:color w:val="0000FF"/>
                  <w:u w:val="single"/>
                </w:rPr>
                <w:t>PACKAGE(</w:t>
              </w:r>
              <w:proofErr w:type="gramEnd"/>
              <w:r>
                <w:rPr>
                  <w:rFonts w:ascii="EB Garamond" w:eastAsia="EB Garamond" w:hAnsi="EB Garamond" w:cs="EB Garamond"/>
                  <w:color w:val="0000FF"/>
                  <w:u w:val="single"/>
                </w:rPr>
                <w:t>ENABLING LAWS)</w:t>
              </w:r>
            </w:hyperlink>
          </w:p>
          <w:p w14:paraId="557569A6" w14:textId="77777777" w:rsidR="00BB62F4" w:rsidRDefault="00000000">
            <w:pPr>
              <w:numPr>
                <w:ilvl w:val="0"/>
                <w:numId w:val="25"/>
              </w:numPr>
              <w:pBdr>
                <w:top w:val="nil"/>
                <w:left w:val="nil"/>
                <w:bottom w:val="nil"/>
                <w:right w:val="nil"/>
                <w:between w:val="nil"/>
              </w:pBdr>
              <w:shd w:val="clear" w:color="auto" w:fill="FFFFFF"/>
              <w:spacing w:before="0" w:after="0"/>
              <w:rPr>
                <w:rFonts w:ascii="EB Garamond" w:eastAsia="EB Garamond" w:hAnsi="EB Garamond" w:cs="EB Garamond"/>
                <w:color w:val="000000"/>
              </w:rPr>
            </w:pPr>
            <w:hyperlink r:id="rId84">
              <w:r>
                <w:rPr>
                  <w:rFonts w:ascii="EB Garamond" w:eastAsia="EB Garamond" w:hAnsi="EB Garamond" w:cs="EB Garamond"/>
                  <w:color w:val="0000FF"/>
                  <w:u w:val="single"/>
                </w:rPr>
                <w:t>2025 LICENSING BID ROUND</w:t>
              </w:r>
            </w:hyperlink>
            <w:r>
              <w:rPr>
                <w:rFonts w:ascii="EB Garamond" w:eastAsia="EB Garamond" w:hAnsi="EB Garamond" w:cs="EB Garamond"/>
                <w:color w:val="000000"/>
              </w:rPr>
              <w:t xml:space="preserve"> PORTAL</w:t>
            </w:r>
          </w:p>
          <w:p w14:paraId="1462E1D8" w14:textId="77777777" w:rsidR="00BB62F4" w:rsidRDefault="00000000">
            <w:pPr>
              <w:numPr>
                <w:ilvl w:val="0"/>
                <w:numId w:val="25"/>
              </w:numPr>
              <w:pBdr>
                <w:top w:val="nil"/>
                <w:left w:val="nil"/>
                <w:bottom w:val="nil"/>
                <w:right w:val="nil"/>
                <w:between w:val="nil"/>
              </w:pBdr>
              <w:shd w:val="clear" w:color="auto" w:fill="FFFFFF"/>
              <w:spacing w:before="0"/>
              <w:rPr>
                <w:rFonts w:ascii="EB Garamond" w:eastAsia="EB Garamond" w:hAnsi="EB Garamond" w:cs="EB Garamond"/>
                <w:color w:val="000000"/>
              </w:rPr>
            </w:pPr>
            <w:hyperlink r:id="rId85">
              <w:r>
                <w:rPr>
                  <w:rFonts w:ascii="EB Garamond" w:eastAsia="EB Garamond" w:hAnsi="EB Garamond" w:cs="EB Garamond"/>
                  <w:color w:val="0000FF"/>
                  <w:u w:val="single"/>
                </w:rPr>
                <w:t>2024 LICENSING ROUND PORTAL</w:t>
              </w:r>
            </w:hyperlink>
          </w:p>
          <w:p w14:paraId="307EDB75" w14:textId="77777777" w:rsidR="00BB62F4" w:rsidRDefault="00000000">
            <w:pPr>
              <w:numPr>
                <w:ilvl w:val="0"/>
                <w:numId w:val="25"/>
              </w:numPr>
              <w:pBdr>
                <w:top w:val="nil"/>
                <w:left w:val="nil"/>
                <w:bottom w:val="nil"/>
                <w:right w:val="nil"/>
                <w:between w:val="nil"/>
              </w:pBdr>
              <w:shd w:val="clear" w:color="auto" w:fill="FFFFFF"/>
              <w:rPr>
                <w:rFonts w:ascii="EB Garamond" w:eastAsia="EB Garamond" w:hAnsi="EB Garamond" w:cs="EB Garamond"/>
                <w:color w:val="000000"/>
              </w:rPr>
            </w:pPr>
            <w:hyperlink r:id="rId86">
              <w:r>
                <w:rPr>
                  <w:rFonts w:ascii="EB Garamond" w:eastAsia="EB Garamond" w:hAnsi="EB Garamond" w:cs="EB Garamond"/>
                  <w:color w:val="0000FF"/>
                  <w:u w:val="single"/>
                </w:rPr>
                <w:t>Nigerian Gas Flare Commercialization Programme (NGFCP)</w:t>
              </w:r>
            </w:hyperlink>
            <w:r>
              <w:rPr>
                <w:rFonts w:ascii="EB Garamond" w:eastAsia="EB Garamond" w:hAnsi="EB Garamond" w:cs="EB Garamond"/>
                <w:color w:val="000000"/>
              </w:rPr>
              <w:t xml:space="preserve">, </w:t>
            </w:r>
            <w:hyperlink r:id="rId87">
              <w:r>
                <w:rPr>
                  <w:rFonts w:ascii="EB Garamond" w:eastAsia="EB Garamond" w:hAnsi="EB Garamond" w:cs="EB Garamond"/>
                  <w:color w:val="0000FF"/>
                  <w:u w:val="single"/>
                </w:rPr>
                <w:t>https://ngfcp.nuprc.gov.ng/successful-applicants/</w:t>
              </w:r>
            </w:hyperlink>
            <w:r>
              <w:rPr>
                <w:rFonts w:ascii="EB Garamond" w:eastAsia="EB Garamond" w:hAnsi="EB Garamond" w:cs="EB Garamond"/>
                <w:color w:val="000000"/>
              </w:rPr>
              <w:t>.</w:t>
            </w:r>
          </w:p>
          <w:p w14:paraId="0DB5F5FE" w14:textId="77777777" w:rsidR="00BB62F4" w:rsidRDefault="00BB62F4">
            <w:pPr>
              <w:shd w:val="clear" w:color="auto" w:fill="FFFFFF"/>
            </w:pPr>
          </w:p>
          <w:p w14:paraId="18AAC6A0"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6A92A830"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174B1EE5" w14:textId="77777777" w:rsidR="00BB62F4" w:rsidRDefault="00000000">
            <w:pPr>
              <w:numPr>
                <w:ilvl w:val="0"/>
                <w:numId w:val="25"/>
              </w:numPr>
              <w:pBdr>
                <w:top w:val="nil"/>
                <w:left w:val="nil"/>
                <w:bottom w:val="nil"/>
                <w:right w:val="nil"/>
                <w:between w:val="nil"/>
              </w:pBdr>
              <w:shd w:val="clear" w:color="auto" w:fill="FFFFFF"/>
              <w:rPr>
                <w:i/>
                <w:iCs/>
                <w:color w:val="000000"/>
                <w:shd w:val="clear" w:color="auto" w:fill="D9E2F3"/>
              </w:rPr>
            </w:pPr>
            <w:hyperlink r:id="rId88">
              <w:r>
                <w:rPr>
                  <w:rFonts w:ascii="EB Garamond" w:eastAsia="EB Garamond" w:hAnsi="EB Garamond" w:cs="EB Garamond"/>
                  <w:color w:val="0000FF"/>
                  <w:u w:val="single"/>
                  <w:shd w:val="clear" w:color="auto" w:fill="D9E2F3"/>
                </w:rPr>
                <w:t>NEITI-OGA-2023-REPORT</w:t>
              </w:r>
            </w:hyperlink>
            <w:r>
              <w:rPr>
                <w:rFonts w:ascii="EB Garamond" w:eastAsia="EB Garamond" w:hAnsi="EB Garamond" w:cs="EB Garamond"/>
                <w:color w:val="000000"/>
                <w:shd w:val="clear" w:color="auto" w:fill="D9E2F3"/>
              </w:rPr>
              <w:t xml:space="preserve"> (Chapter 4, page 58)</w:t>
            </w:r>
            <w:r>
              <w:rPr>
                <w:i/>
                <w:iCs/>
                <w:color w:val="000000"/>
                <w:shd w:val="clear" w:color="auto" w:fill="D9E2F3"/>
              </w:rPr>
              <w:br/>
            </w:r>
          </w:p>
          <w:p w14:paraId="37ECE86C" w14:textId="77777777" w:rsidR="00BB62F4" w:rsidRDefault="00000000">
            <w:pPr>
              <w:numPr>
                <w:ilvl w:val="0"/>
                <w:numId w:val="22"/>
              </w:numPr>
              <w:pBdr>
                <w:top w:val="nil"/>
                <w:left w:val="nil"/>
                <w:bottom w:val="nil"/>
                <w:right w:val="nil"/>
                <w:between w:val="nil"/>
              </w:pBdr>
              <w:rPr>
                <w:color w:val="000000"/>
              </w:rPr>
            </w:pPr>
            <w:r>
              <w:rPr>
                <w:b/>
                <w:bCs/>
                <w:color w:val="000000"/>
              </w:rPr>
              <w:t xml:space="preserve">Beneficial owners of all </w:t>
            </w:r>
            <w:proofErr w:type="gramStart"/>
            <w:r>
              <w:rPr>
                <w:b/>
                <w:bCs/>
                <w:color w:val="000000"/>
              </w:rPr>
              <w:t>applicants</w:t>
            </w:r>
            <w:r>
              <w:rPr>
                <w:color w:val="000000"/>
              </w:rPr>
              <w:t xml:space="preserve">  </w:t>
            </w:r>
            <w:r>
              <w:rPr>
                <w:rFonts w:ascii="MS Gothic" w:eastAsia="MS Gothic" w:hAnsi="MS Gothic" w:cs="MS Gothic"/>
                <w:color w:val="000000"/>
              </w:rPr>
              <w:t>☒</w:t>
            </w:r>
            <w:proofErr w:type="gramEnd"/>
            <w:r>
              <w:rPr>
                <w:color w:val="000000"/>
              </w:rPr>
              <w:t xml:space="preserve"> </w:t>
            </w:r>
            <w:r>
              <w:rPr>
                <w:color w:val="000000"/>
                <w:shd w:val="clear" w:color="auto" w:fill="D9E2F3"/>
              </w:rPr>
              <w:t xml:space="preserve">Yes </w:t>
            </w:r>
            <w:r>
              <w:rPr>
                <w:color w:val="000000"/>
              </w:rPr>
              <w:t xml:space="preserve">   </w:t>
            </w:r>
            <w:r>
              <w:rPr>
                <w:rFonts w:ascii="MS Gothic" w:eastAsia="MS Gothic" w:hAnsi="MS Gothic" w:cs="MS Gothic"/>
                <w:color w:val="000000"/>
              </w:rPr>
              <w:t>☐</w:t>
            </w:r>
            <w:r>
              <w:rPr>
                <w:color w:val="000000"/>
                <w:shd w:val="clear" w:color="auto" w:fill="D9E2F3"/>
              </w:rPr>
              <w:t>No</w:t>
            </w:r>
          </w:p>
          <w:p w14:paraId="169D37AD" w14:textId="77777777" w:rsidR="00BB62F4" w:rsidRDefault="00000000">
            <w:pPr>
              <w:pBdr>
                <w:top w:val="nil"/>
                <w:left w:val="nil"/>
                <w:bottom w:val="nil"/>
                <w:right w:val="nil"/>
                <w:between w:val="nil"/>
              </w:pBdr>
              <w:shd w:val="clear" w:color="auto" w:fill="FFFFFF"/>
              <w:ind w:left="360"/>
              <w:rPr>
                <w:i/>
                <w:iCs/>
                <w:color w:val="0000FF"/>
                <w:u w:val="single"/>
                <w:shd w:val="clear" w:color="auto" w:fill="D9E2F3"/>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286DA36B" w14:textId="77777777" w:rsidR="00BB62F4" w:rsidRDefault="00000000">
            <w:pPr>
              <w:numPr>
                <w:ilvl w:val="0"/>
                <w:numId w:val="25"/>
              </w:numPr>
              <w:pBdr>
                <w:top w:val="nil"/>
                <w:left w:val="nil"/>
                <w:bottom w:val="nil"/>
                <w:right w:val="nil"/>
                <w:between w:val="nil"/>
              </w:pBdr>
              <w:shd w:val="clear" w:color="auto" w:fill="FFFFFF"/>
              <w:rPr>
                <w:color w:val="000000"/>
              </w:rPr>
            </w:pPr>
            <w:hyperlink r:id="rId89">
              <w:r>
                <w:rPr>
                  <w:color w:val="0000FF"/>
                  <w:u w:val="single"/>
                </w:rPr>
                <w:t>BENEFICIAL OWNERSHIP INFORMATION – Nigerian Upstream Petroleum Regulatory Commission</w:t>
              </w:r>
            </w:hyperlink>
          </w:p>
          <w:p w14:paraId="112302DC" w14:textId="77777777" w:rsidR="00BB62F4" w:rsidRDefault="00000000">
            <w:pPr>
              <w:numPr>
                <w:ilvl w:val="0"/>
                <w:numId w:val="25"/>
              </w:numPr>
              <w:pBdr>
                <w:top w:val="nil"/>
                <w:left w:val="nil"/>
                <w:bottom w:val="nil"/>
                <w:right w:val="nil"/>
                <w:between w:val="nil"/>
              </w:pBdr>
              <w:shd w:val="clear" w:color="auto" w:fill="FFFFFF"/>
              <w:rPr>
                <w:color w:val="000000"/>
              </w:rPr>
            </w:pPr>
            <w:r>
              <w:rPr>
                <w:color w:val="000000"/>
              </w:rPr>
              <w:lastRenderedPageBreak/>
              <w:t xml:space="preserve">NEITI </w:t>
            </w:r>
            <w:hyperlink r:id="rId90">
              <w:r>
                <w:rPr>
                  <w:color w:val="0000FF"/>
                  <w:u w:val="single"/>
                </w:rPr>
                <w:t>Beneficial Ownership Portal</w:t>
              </w:r>
            </w:hyperlink>
            <w:r>
              <w:rPr>
                <w:color w:val="000000"/>
              </w:rPr>
              <w:t>.</w:t>
            </w:r>
          </w:p>
          <w:p w14:paraId="0731743D" w14:textId="77777777" w:rsidR="00BB62F4" w:rsidRDefault="00000000">
            <w:pPr>
              <w:numPr>
                <w:ilvl w:val="0"/>
                <w:numId w:val="25"/>
              </w:numPr>
              <w:pBdr>
                <w:top w:val="nil"/>
                <w:left w:val="nil"/>
                <w:bottom w:val="nil"/>
                <w:right w:val="nil"/>
                <w:between w:val="nil"/>
              </w:pBdr>
              <w:shd w:val="clear" w:color="auto" w:fill="FFFFFF"/>
              <w:rPr>
                <w:color w:val="000000"/>
              </w:rPr>
            </w:pPr>
            <w:r>
              <w:rPr>
                <w:color w:val="000000"/>
              </w:rPr>
              <w:t xml:space="preserve">CAC BENEFICIAL OWNERSHIP PORTAL </w:t>
            </w:r>
            <w:hyperlink r:id="rId91">
              <w:r>
                <w:rPr>
                  <w:color w:val="0000FF"/>
                  <w:u w:val="single"/>
                </w:rPr>
                <w:t xml:space="preserve">Home | Persons </w:t>
              </w:r>
              <w:proofErr w:type="gramStart"/>
              <w:r>
                <w:rPr>
                  <w:color w:val="0000FF"/>
                  <w:u w:val="single"/>
                </w:rPr>
                <w:t>With</w:t>
              </w:r>
              <w:proofErr w:type="gramEnd"/>
              <w:r>
                <w:rPr>
                  <w:color w:val="0000FF"/>
                  <w:u w:val="single"/>
                </w:rPr>
                <w:t xml:space="preserve"> Significant Control</w:t>
              </w:r>
            </w:hyperlink>
          </w:p>
          <w:p w14:paraId="0F44F220" w14:textId="77777777" w:rsidR="00BB62F4" w:rsidRDefault="00BB62F4">
            <w:pPr>
              <w:shd w:val="clear" w:color="auto" w:fill="FFFFFF"/>
            </w:pPr>
          </w:p>
          <w:p w14:paraId="63095E4F"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7973EEBD"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6F9AB408" w14:textId="77777777" w:rsidR="00BB62F4" w:rsidRDefault="00000000">
            <w:pPr>
              <w:numPr>
                <w:ilvl w:val="0"/>
                <w:numId w:val="25"/>
              </w:numPr>
              <w:pBdr>
                <w:top w:val="nil"/>
                <w:left w:val="nil"/>
                <w:bottom w:val="nil"/>
                <w:right w:val="nil"/>
                <w:between w:val="nil"/>
              </w:pBdr>
              <w:shd w:val="clear" w:color="auto" w:fill="FFFFFF"/>
              <w:rPr>
                <w:i/>
                <w:iCs/>
                <w:color w:val="000000"/>
                <w:shd w:val="clear" w:color="auto" w:fill="D9E2F3"/>
              </w:rPr>
            </w:pPr>
            <w:r>
              <w:rPr>
                <w:rFonts w:ascii="EB Garamond" w:eastAsia="EB Garamond" w:hAnsi="EB Garamond" w:cs="EB Garamond"/>
                <w:color w:val="000000"/>
              </w:rPr>
              <w:t xml:space="preserve">NEITI </w:t>
            </w:r>
            <w:hyperlink r:id="rId92">
              <w:r>
                <w:rPr>
                  <w:rFonts w:ascii="EB Garamond" w:eastAsia="EB Garamond" w:hAnsi="EB Garamond" w:cs="EB Garamond"/>
                  <w:color w:val="0000FF"/>
                  <w:u w:val="single"/>
                </w:rPr>
                <w:t>Beneficial Ownership Portal</w:t>
              </w:r>
            </w:hyperlink>
            <w:r>
              <w:rPr>
                <w:rFonts w:ascii="EB Garamond" w:eastAsia="EB Garamond" w:hAnsi="EB Garamond" w:cs="EB Garamond"/>
                <w:color w:val="000000"/>
              </w:rPr>
              <w:t>.</w:t>
            </w:r>
          </w:p>
          <w:p w14:paraId="1CF97BFD" w14:textId="77777777" w:rsidR="00BB62F4" w:rsidRDefault="00000000">
            <w:pPr>
              <w:numPr>
                <w:ilvl w:val="0"/>
                <w:numId w:val="22"/>
              </w:numPr>
              <w:pBdr>
                <w:top w:val="nil"/>
                <w:left w:val="nil"/>
                <w:bottom w:val="nil"/>
                <w:right w:val="nil"/>
                <w:between w:val="nil"/>
              </w:pBdr>
              <w:rPr>
                <w:color w:val="000000"/>
                <w:shd w:val="clear" w:color="auto" w:fill="D9E2F3"/>
              </w:rPr>
            </w:pPr>
            <w:r>
              <w:rPr>
                <w:b/>
                <w:bCs/>
                <w:color w:val="000000"/>
              </w:rPr>
              <w:t>The bid criteria</w:t>
            </w: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 xml:space="preserve">Yes </w:t>
            </w:r>
            <w:r>
              <w:rPr>
                <w:color w:val="000000"/>
              </w:rPr>
              <w:t xml:space="preserve">   </w:t>
            </w:r>
            <w:r>
              <w:rPr>
                <w:rFonts w:ascii="MS Gothic" w:eastAsia="MS Gothic" w:hAnsi="MS Gothic" w:cs="MS Gothic"/>
                <w:color w:val="000000"/>
              </w:rPr>
              <w:t>☐</w:t>
            </w:r>
            <w:r>
              <w:rPr>
                <w:color w:val="000000"/>
                <w:shd w:val="clear" w:color="auto" w:fill="D9E2F3"/>
              </w:rPr>
              <w:t>No</w:t>
            </w:r>
          </w:p>
          <w:p w14:paraId="2A164DBC" w14:textId="77777777" w:rsidR="00BB62F4" w:rsidRDefault="00000000">
            <w:pPr>
              <w:pBdr>
                <w:top w:val="nil"/>
                <w:left w:val="nil"/>
                <w:bottom w:val="nil"/>
                <w:right w:val="nil"/>
                <w:between w:val="nil"/>
              </w:pBdr>
              <w:shd w:val="clear" w:color="auto" w:fill="FFFFFF"/>
              <w:ind w:left="360"/>
              <w:rPr>
                <w:i/>
                <w:iCs/>
                <w:color w:val="0000FF"/>
                <w:u w:val="single"/>
                <w:shd w:val="clear" w:color="auto" w:fill="D9E2F3"/>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34B1014F" w14:textId="77777777" w:rsidR="00BB62F4" w:rsidRDefault="00000000">
            <w:pPr>
              <w:numPr>
                <w:ilvl w:val="0"/>
                <w:numId w:val="25"/>
              </w:numPr>
              <w:pBdr>
                <w:top w:val="nil"/>
                <w:left w:val="nil"/>
                <w:bottom w:val="nil"/>
                <w:right w:val="nil"/>
                <w:between w:val="nil"/>
              </w:pBdr>
              <w:shd w:val="clear" w:color="auto" w:fill="FFFFFF"/>
              <w:spacing w:after="0"/>
              <w:rPr>
                <w:rFonts w:ascii="EB Garamond" w:eastAsia="EB Garamond" w:hAnsi="EB Garamond" w:cs="EB Garamond"/>
                <w:color w:val="000000"/>
              </w:rPr>
            </w:pPr>
            <w:r>
              <w:rPr>
                <w:rFonts w:ascii="EB Garamond" w:eastAsia="EB Garamond" w:hAnsi="EB Garamond" w:cs="EB Garamond"/>
                <w:color w:val="000000"/>
              </w:rPr>
              <w:t>The 2022/2023 NUPRC Mini Bid Round required applicants meet specific legal, technical and financial criteria to qualify through the NUPRC portal, emphasizing transparency and compliance of the Petroleum Industry Act (PIA) 2021. (Part II-Administration of upstream petroleum operation and environment-73).</w:t>
            </w:r>
          </w:p>
          <w:p w14:paraId="058C0FA4" w14:textId="77777777" w:rsidR="00BB62F4" w:rsidRDefault="00000000">
            <w:pPr>
              <w:numPr>
                <w:ilvl w:val="0"/>
                <w:numId w:val="25"/>
              </w:numPr>
              <w:pBdr>
                <w:top w:val="nil"/>
                <w:left w:val="nil"/>
                <w:bottom w:val="nil"/>
                <w:right w:val="nil"/>
                <w:between w:val="nil"/>
              </w:pBdr>
              <w:shd w:val="clear" w:color="auto" w:fill="FFFFFF"/>
              <w:spacing w:before="0" w:after="0"/>
              <w:rPr>
                <w:rFonts w:ascii="EB Garamond" w:eastAsia="EB Garamond" w:hAnsi="EB Garamond" w:cs="EB Garamond"/>
                <w:color w:val="000000"/>
              </w:rPr>
            </w:pPr>
            <w:hyperlink r:id="rId93">
              <w:r>
                <w:rPr>
                  <w:rFonts w:ascii="EB Garamond" w:eastAsia="EB Garamond" w:hAnsi="EB Garamond" w:cs="EB Garamond"/>
                  <w:color w:val="0000FF"/>
                  <w:u w:val="single"/>
                </w:rPr>
                <w:t>BID PACKAGE (ENABLING LAWS)</w:t>
              </w:r>
            </w:hyperlink>
            <w:r>
              <w:rPr>
                <w:rFonts w:ascii="EB Garamond" w:eastAsia="EB Garamond" w:hAnsi="EB Garamond" w:cs="EB Garamond"/>
                <w:color w:val="000000"/>
              </w:rPr>
              <w:t> </w:t>
            </w:r>
          </w:p>
          <w:p w14:paraId="6940B52E" w14:textId="77777777" w:rsidR="00BB62F4" w:rsidRDefault="00000000">
            <w:pPr>
              <w:numPr>
                <w:ilvl w:val="0"/>
                <w:numId w:val="25"/>
              </w:numPr>
              <w:pBdr>
                <w:top w:val="nil"/>
                <w:left w:val="nil"/>
                <w:bottom w:val="nil"/>
                <w:right w:val="nil"/>
                <w:between w:val="nil"/>
              </w:pBdr>
              <w:shd w:val="clear" w:color="auto" w:fill="FFFFFF"/>
              <w:spacing w:before="0"/>
              <w:rPr>
                <w:rFonts w:ascii="EB Garamond" w:eastAsia="EB Garamond" w:hAnsi="EB Garamond" w:cs="EB Garamond"/>
                <w:color w:val="000000"/>
              </w:rPr>
            </w:pPr>
            <w:hyperlink r:id="rId94">
              <w:r>
                <w:rPr>
                  <w:rFonts w:ascii="EB Garamond" w:eastAsia="EB Garamond" w:hAnsi="EB Garamond" w:cs="EB Garamond"/>
                  <w:color w:val="0000FF"/>
                  <w:u w:val="single"/>
                </w:rPr>
                <w:t>BID ROUND 2023 CRITERIA-NUPRC</w:t>
              </w:r>
            </w:hyperlink>
          </w:p>
          <w:p w14:paraId="7273A529"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599414F9"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20F570B2" w14:textId="77777777" w:rsidR="00BB62F4" w:rsidRDefault="00000000">
            <w:pPr>
              <w:pBdr>
                <w:top w:val="nil"/>
                <w:left w:val="nil"/>
                <w:bottom w:val="nil"/>
                <w:right w:val="nil"/>
                <w:between w:val="nil"/>
              </w:pBdr>
              <w:shd w:val="clear" w:color="auto" w:fill="FFFFFF"/>
              <w:ind w:left="360"/>
              <w:rPr>
                <w:b/>
                <w:bCs/>
                <w:color w:val="000000"/>
              </w:rPr>
            </w:pPr>
            <w:r>
              <w:rPr>
                <w:rFonts w:ascii="EB Garamond" w:eastAsia="EB Garamond" w:hAnsi="EB Garamond" w:cs="EB Garamond"/>
                <w:i/>
                <w:iCs/>
                <w:color w:val="000000"/>
                <w:shd w:val="clear" w:color="auto" w:fill="D9E2F3"/>
              </w:rPr>
              <w:br/>
            </w:r>
          </w:p>
        </w:tc>
      </w:tr>
      <w:tr w:rsidR="00BB62F4" w14:paraId="7CC56980" w14:textId="77777777">
        <w:tc>
          <w:tcPr>
            <w:tcW w:w="1530" w:type="dxa"/>
            <w:tcBorders>
              <w:top w:val="single" w:sz="4" w:space="0" w:color="000000"/>
              <w:left w:val="nil"/>
              <w:bottom w:val="nil"/>
              <w:right w:val="nil"/>
            </w:tcBorders>
          </w:tcPr>
          <w:p w14:paraId="78777F0B" w14:textId="77777777" w:rsidR="00BB62F4" w:rsidRDefault="00000000">
            <w:pPr>
              <w:rPr>
                <w:i/>
                <w:iCs/>
              </w:rPr>
            </w:pPr>
            <w:r>
              <w:rPr>
                <w:i/>
                <w:iCs/>
              </w:rPr>
              <w:lastRenderedPageBreak/>
              <w:t>Assessment on comprehensiveness, reliability and timeliness of information</w:t>
            </w:r>
          </w:p>
        </w:tc>
        <w:tc>
          <w:tcPr>
            <w:tcW w:w="6975" w:type="dxa"/>
            <w:tcBorders>
              <w:top w:val="single" w:sz="4" w:space="0" w:color="000000"/>
              <w:left w:val="nil"/>
              <w:bottom w:val="nil"/>
              <w:right w:val="nil"/>
            </w:tcBorders>
          </w:tcPr>
          <w:p w14:paraId="1B51C994" w14:textId="77777777" w:rsidR="00BB62F4" w:rsidRDefault="00000000">
            <w:pPr>
              <w:rPr>
                <w:b/>
                <w:bCs/>
                <w:u w:val="single"/>
              </w:rPr>
            </w:pPr>
            <w:r>
              <w:rPr>
                <w:b/>
                <w:bCs/>
              </w:rPr>
              <w:t xml:space="preserve">Do any stakeholders (including, but not limited to MSG members) consider the information on the following to be </w:t>
            </w:r>
            <w:r>
              <w:rPr>
                <w:b/>
                <w:bCs/>
                <w:u w:val="single"/>
              </w:rPr>
              <w:t>incomplete, unreliable or outdated?</w:t>
            </w:r>
          </w:p>
          <w:p w14:paraId="2BAEF1A2" w14:textId="77777777" w:rsidR="00BB62F4" w:rsidRDefault="00000000">
            <w:pPr>
              <w:numPr>
                <w:ilvl w:val="0"/>
                <w:numId w:val="1"/>
              </w:numPr>
              <w:pBdr>
                <w:top w:val="nil"/>
                <w:left w:val="nil"/>
                <w:bottom w:val="nil"/>
                <w:right w:val="nil"/>
                <w:between w:val="nil"/>
              </w:pBdr>
              <w:rPr>
                <w:color w:val="000000"/>
              </w:rPr>
            </w:pPr>
            <w:r>
              <w:rPr>
                <w:color w:val="000000"/>
              </w:rPr>
              <w:t xml:space="preserve">Bidding round </w:t>
            </w:r>
            <w:proofErr w:type="gramStart"/>
            <w:r>
              <w:rPr>
                <w:color w:val="000000"/>
              </w:rPr>
              <w:t xml:space="preserve">applicants  </w:t>
            </w:r>
            <w:r>
              <w:rPr>
                <w:rFonts w:ascii="MS Gothic" w:eastAsia="MS Gothic" w:hAnsi="MS Gothic" w:cs="MS Gothic"/>
              </w:rPr>
              <w:t>☒</w:t>
            </w:r>
            <w:proofErr w:type="gramEnd"/>
            <w:r>
              <w:rPr>
                <w:color w:val="000000"/>
              </w:rPr>
              <w:t xml:space="preserve"> </w:t>
            </w:r>
            <w:r>
              <w:rPr>
                <w:color w:val="000000"/>
                <w:shd w:val="clear" w:color="auto" w:fill="D9E2F3"/>
              </w:rPr>
              <w:t xml:space="preserve">Yes </w:t>
            </w:r>
            <w:r>
              <w:rPr>
                <w:color w:val="000000"/>
              </w:rPr>
              <w:t xml:space="preserve">  </w:t>
            </w:r>
            <w:r>
              <w:rPr>
                <w:rFonts w:ascii="MS Gothic" w:eastAsia="MS Gothic" w:hAnsi="MS Gothic" w:cs="MS Gothic"/>
              </w:rPr>
              <w:t>☐</w:t>
            </w:r>
            <w:r>
              <w:rPr>
                <w:color w:val="000000"/>
                <w:shd w:val="clear" w:color="auto" w:fill="D9E2F3"/>
              </w:rPr>
              <w:t xml:space="preserve">No    </w:t>
            </w:r>
          </w:p>
          <w:p w14:paraId="71789689" w14:textId="77777777" w:rsidR="00BB62F4" w:rsidRDefault="00000000">
            <w:pPr>
              <w:pBdr>
                <w:top w:val="nil"/>
                <w:left w:val="nil"/>
                <w:bottom w:val="nil"/>
                <w:right w:val="nil"/>
                <w:between w:val="nil"/>
              </w:pBdr>
              <w:ind w:left="360"/>
              <w:rPr>
                <w:i/>
                <w:iCs/>
                <w:color w:val="000000"/>
                <w:shd w:val="clear" w:color="auto" w:fill="D9E2F3"/>
              </w:rPr>
            </w:pPr>
            <w:r>
              <w:rPr>
                <w:color w:val="000000"/>
              </w:rPr>
              <w:t xml:space="preserve">If </w:t>
            </w:r>
            <w:r>
              <w:rPr>
                <w:color w:val="000000"/>
                <w:u w:val="single"/>
              </w:rPr>
              <w:t>yes,</w:t>
            </w:r>
            <w:r>
              <w:rPr>
                <w:color w:val="000000"/>
              </w:rPr>
              <w:t xml:space="preserve"> please elaborate:</w:t>
            </w:r>
            <w:r>
              <w:rPr>
                <w:color w:val="000000"/>
                <w:shd w:val="clear" w:color="auto" w:fill="D9E2F3"/>
              </w:rPr>
              <w:t xml:space="preserve"> </w:t>
            </w:r>
            <w:r>
              <w:rPr>
                <w:i/>
                <w:iCs/>
                <w:color w:val="000000"/>
                <w:shd w:val="clear" w:color="auto" w:fill="D9E2F3"/>
              </w:rPr>
              <w:t>For example, the information on applicants is incomplete / not reliable / outdated because…</w:t>
            </w:r>
          </w:p>
          <w:p w14:paraId="3A33F8EF" w14:textId="77777777" w:rsidR="00BB62F4" w:rsidRDefault="00000000">
            <w:pPr>
              <w:pBdr>
                <w:top w:val="nil"/>
                <w:left w:val="nil"/>
                <w:bottom w:val="nil"/>
                <w:right w:val="nil"/>
                <w:between w:val="nil"/>
              </w:pBdr>
              <w:ind w:left="360"/>
              <w:jc w:val="both"/>
              <w:rPr>
                <w:color w:val="000000"/>
                <w:shd w:val="clear" w:color="auto" w:fill="D9E2F3"/>
              </w:rPr>
            </w:pPr>
            <w:r>
              <w:rPr>
                <w:color w:val="000000"/>
                <w:shd w:val="clear" w:color="auto" w:fill="D9E2F3"/>
              </w:rPr>
              <w:t>NEITI 2023 Report doesn’t explicitly classify information on bid round applicants as unreliable, instead, the 2023 report highlighted significant gaps in data, documentation and disclosure regarding licensing rounds, treating it as a challenge of compliance rather than entirely outdated or unreliable.</w:t>
            </w:r>
          </w:p>
          <w:p w14:paraId="76E1C9B4" w14:textId="77777777" w:rsidR="00BB62F4" w:rsidRDefault="00000000">
            <w:pPr>
              <w:numPr>
                <w:ilvl w:val="0"/>
                <w:numId w:val="1"/>
              </w:numPr>
              <w:pBdr>
                <w:top w:val="nil"/>
                <w:left w:val="nil"/>
                <w:bottom w:val="nil"/>
                <w:right w:val="nil"/>
                <w:between w:val="nil"/>
              </w:pBdr>
              <w:rPr>
                <w:color w:val="000000"/>
              </w:rPr>
            </w:pPr>
            <w:r>
              <w:rPr>
                <w:color w:val="000000"/>
              </w:rPr>
              <w:t xml:space="preserve">Beneficial ownership of all </w:t>
            </w:r>
            <w:proofErr w:type="gramStart"/>
            <w:r>
              <w:rPr>
                <w:color w:val="000000"/>
              </w:rPr>
              <w:t xml:space="preserve">applicants  </w:t>
            </w:r>
            <w:r>
              <w:rPr>
                <w:rFonts w:ascii="MS Gothic" w:eastAsia="MS Gothic" w:hAnsi="MS Gothic" w:cs="MS Gothic"/>
              </w:rPr>
              <w:t>☐</w:t>
            </w:r>
            <w:proofErr w:type="gramEnd"/>
            <w:r>
              <w:rPr>
                <w:color w:val="000000"/>
              </w:rPr>
              <w:t xml:space="preserve"> </w:t>
            </w:r>
            <w:r>
              <w:rPr>
                <w:color w:val="000000"/>
                <w:shd w:val="clear" w:color="auto" w:fill="D9E2F3"/>
              </w:rPr>
              <w:t xml:space="preserve">Yes </w:t>
            </w:r>
            <w:r>
              <w:rPr>
                <w:color w:val="000000"/>
              </w:rPr>
              <w:t xml:space="preserve">   </w:t>
            </w:r>
            <w:r>
              <w:rPr>
                <w:rFonts w:ascii="MS Gothic" w:eastAsia="MS Gothic" w:hAnsi="MS Gothic" w:cs="MS Gothic"/>
              </w:rPr>
              <w:t>☒</w:t>
            </w:r>
            <w:r>
              <w:rPr>
                <w:color w:val="000000"/>
                <w:shd w:val="clear" w:color="auto" w:fill="D9E2F3"/>
              </w:rPr>
              <w:t>No</w:t>
            </w:r>
          </w:p>
          <w:p w14:paraId="4F03F946" w14:textId="77777777" w:rsidR="00BB62F4" w:rsidRDefault="00000000">
            <w:pPr>
              <w:pBdr>
                <w:top w:val="nil"/>
                <w:left w:val="nil"/>
                <w:bottom w:val="nil"/>
                <w:right w:val="nil"/>
                <w:between w:val="nil"/>
              </w:pBdr>
              <w:ind w:left="360"/>
              <w:rPr>
                <w:i/>
                <w:iCs/>
                <w:color w:val="000000"/>
                <w:shd w:val="clear" w:color="auto" w:fill="D9E2F3"/>
              </w:rPr>
            </w:pPr>
            <w:r>
              <w:rPr>
                <w:color w:val="000000"/>
              </w:rPr>
              <w:t xml:space="preserve">If </w:t>
            </w:r>
            <w:r>
              <w:rPr>
                <w:color w:val="000000"/>
                <w:u w:val="single"/>
              </w:rPr>
              <w:t>yes,</w:t>
            </w:r>
            <w:r>
              <w:rPr>
                <w:color w:val="000000"/>
              </w:rPr>
              <w:t xml:space="preserve"> please elaborate:</w:t>
            </w:r>
            <w:r>
              <w:rPr>
                <w:color w:val="000000"/>
                <w:shd w:val="clear" w:color="auto" w:fill="D9E2F3"/>
              </w:rPr>
              <w:t xml:space="preserve"> </w:t>
            </w:r>
            <w:r>
              <w:rPr>
                <w:i/>
                <w:iCs/>
                <w:color w:val="000000"/>
                <w:shd w:val="clear" w:color="auto" w:fill="D9E2F3"/>
              </w:rPr>
              <w:t>For example, the information on beneficial owners of applicants is incomplete / not reliable / outdated because…</w:t>
            </w:r>
          </w:p>
          <w:p w14:paraId="667EC812" w14:textId="77777777" w:rsidR="00BB62F4" w:rsidRDefault="00000000">
            <w:pPr>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shd w:val="clear" w:color="auto" w:fill="D9E2F3"/>
              </w:rPr>
              <w:t xml:space="preserve"> </w:t>
            </w:r>
            <w:r>
              <w:rPr>
                <w:rFonts w:ascii="EB Garamond" w:eastAsia="EB Garamond" w:hAnsi="EB Garamond" w:cs="EB Garamond"/>
                <w:color w:val="000000"/>
                <w:shd w:val="clear" w:color="auto" w:fill="D9E2F3"/>
              </w:rPr>
              <w:t>The NSWG in 2023 viewed BO data as improving and undergoing rigorous centralized update and validation.</w:t>
            </w:r>
          </w:p>
          <w:p w14:paraId="28CE4BFB" w14:textId="77777777" w:rsidR="00BB62F4" w:rsidRDefault="00000000">
            <w:pPr>
              <w:numPr>
                <w:ilvl w:val="0"/>
                <w:numId w:val="1"/>
              </w:numPr>
              <w:pBdr>
                <w:top w:val="nil"/>
                <w:left w:val="nil"/>
                <w:bottom w:val="nil"/>
                <w:right w:val="nil"/>
                <w:between w:val="nil"/>
              </w:pBdr>
              <w:rPr>
                <w:i/>
                <w:iCs/>
                <w:color w:val="000000"/>
              </w:rPr>
            </w:pPr>
            <w:r>
              <w:rPr>
                <w:color w:val="000000"/>
              </w:rPr>
              <w:t xml:space="preserve">Bid criteria </w:t>
            </w:r>
            <w:r>
              <w:rPr>
                <w:rFonts w:ascii="MS Gothic" w:eastAsia="MS Gothic" w:hAnsi="MS Gothic" w:cs="MS Gothic"/>
                <w:color w:val="000000"/>
              </w:rPr>
              <w:t>☒</w:t>
            </w:r>
            <w:r>
              <w:rPr>
                <w:color w:val="000000"/>
              </w:rPr>
              <w:t xml:space="preserve"> </w:t>
            </w:r>
            <w:r>
              <w:rPr>
                <w:color w:val="000000"/>
                <w:shd w:val="clear" w:color="auto" w:fill="D9E2F3"/>
              </w:rPr>
              <w:t xml:space="preserve">Yes </w:t>
            </w:r>
            <w:r>
              <w:rPr>
                <w:color w:val="000000"/>
              </w:rPr>
              <w:t xml:space="preserve">   </w:t>
            </w:r>
            <w:r>
              <w:rPr>
                <w:rFonts w:ascii="MS Gothic" w:eastAsia="MS Gothic" w:hAnsi="MS Gothic" w:cs="MS Gothic"/>
                <w:color w:val="000000"/>
              </w:rPr>
              <w:t>☐</w:t>
            </w:r>
            <w:r>
              <w:rPr>
                <w:color w:val="000000"/>
                <w:shd w:val="clear" w:color="auto" w:fill="D9E2F3"/>
              </w:rPr>
              <w:t>No</w:t>
            </w:r>
            <w:r>
              <w:rPr>
                <w:color w:val="000000"/>
              </w:rPr>
              <w:t xml:space="preserve"> </w:t>
            </w:r>
          </w:p>
          <w:p w14:paraId="0D45B62D" w14:textId="77777777" w:rsidR="00BB62F4" w:rsidRDefault="00000000">
            <w:pPr>
              <w:pBdr>
                <w:top w:val="nil"/>
                <w:left w:val="nil"/>
                <w:bottom w:val="nil"/>
                <w:right w:val="nil"/>
                <w:between w:val="nil"/>
              </w:pBdr>
              <w:ind w:left="360"/>
              <w:rPr>
                <w:i/>
                <w:iCs/>
                <w:color w:val="000000"/>
                <w:shd w:val="clear" w:color="auto" w:fill="D9E2F3"/>
              </w:rPr>
            </w:pPr>
            <w:r>
              <w:rPr>
                <w:color w:val="000000"/>
              </w:rPr>
              <w:t xml:space="preserve">If </w:t>
            </w:r>
            <w:r>
              <w:rPr>
                <w:color w:val="000000"/>
                <w:u w:val="single"/>
              </w:rPr>
              <w:t>yes,</w:t>
            </w:r>
            <w:r>
              <w:rPr>
                <w:color w:val="000000"/>
              </w:rPr>
              <w:t xml:space="preserve"> please elaborate:</w:t>
            </w:r>
            <w:r>
              <w:rPr>
                <w:color w:val="000000"/>
                <w:shd w:val="clear" w:color="auto" w:fill="D9E2F3"/>
              </w:rPr>
              <w:t xml:space="preserve"> </w:t>
            </w:r>
            <w:r>
              <w:rPr>
                <w:i/>
                <w:iCs/>
                <w:color w:val="000000"/>
                <w:shd w:val="clear" w:color="auto" w:fill="D9E2F3"/>
              </w:rPr>
              <w:t>For example, the information on bid criteria is incomplete / not reliable / outdated because…</w:t>
            </w:r>
          </w:p>
          <w:p w14:paraId="466A9598" w14:textId="77777777" w:rsidR="00BB62F4" w:rsidRDefault="00000000">
            <w:pPr>
              <w:ind w:left="360"/>
              <w:jc w:val="both"/>
              <w:rPr>
                <w:rFonts w:ascii="Times New Roman" w:eastAsia="Times New Roman" w:hAnsi="Times New Roman" w:cs="Times New Roman"/>
                <w:sz w:val="24"/>
                <w:szCs w:val="24"/>
              </w:rPr>
            </w:pPr>
            <w:r>
              <w:rPr>
                <w:rFonts w:ascii="EB Garamond" w:eastAsia="EB Garamond" w:hAnsi="EB Garamond" w:cs="EB Garamond"/>
                <w:color w:val="000000"/>
                <w:shd w:val="clear" w:color="auto" w:fill="D9E2F3"/>
              </w:rPr>
              <w:t xml:space="preserve">NEITI 2023 oil and gas report and the 2022-2024 bid round monitoring report highlights the bidding round application process, beneficial ownership of all </w:t>
            </w:r>
            <w:r>
              <w:rPr>
                <w:rFonts w:ascii="EB Garamond" w:eastAsia="EB Garamond" w:hAnsi="EB Garamond" w:cs="EB Garamond"/>
                <w:color w:val="000000"/>
                <w:shd w:val="clear" w:color="auto" w:fill="D9E2F3"/>
              </w:rPr>
              <w:lastRenderedPageBreak/>
              <w:t xml:space="preserve">applicants and bid criteria are areas needing improvement continually. The Bid criteria is publicly disclosed on the NUPRC dedicated website. The bid process report published by NEITI NSWG confirms that a </w:t>
            </w:r>
            <w:proofErr w:type="gramStart"/>
            <w:r>
              <w:rPr>
                <w:rFonts w:ascii="EB Garamond" w:eastAsia="EB Garamond" w:hAnsi="EB Garamond" w:cs="EB Garamond"/>
                <w:color w:val="000000"/>
                <w:shd w:val="clear" w:color="auto" w:fill="D9E2F3"/>
              </w:rPr>
              <w:t>bid criteria</w:t>
            </w:r>
            <w:proofErr w:type="gramEnd"/>
            <w:r>
              <w:rPr>
                <w:rFonts w:ascii="EB Garamond" w:eastAsia="EB Garamond" w:hAnsi="EB Garamond" w:cs="EB Garamond"/>
                <w:color w:val="000000"/>
                <w:shd w:val="clear" w:color="auto" w:fill="D9E2F3"/>
              </w:rPr>
              <w:t xml:space="preserve"> for the most recent bid exists alongside the list of successful bidders was disclosed for the process on the NUPRC portal despite it not being comprehensive.</w:t>
            </w:r>
          </w:p>
          <w:p w14:paraId="01F9B95F" w14:textId="77777777" w:rsidR="00BB62F4" w:rsidRDefault="00000000">
            <w:pPr>
              <w:rPr>
                <w:b/>
                <w:bCs/>
              </w:rPr>
            </w:pPr>
            <w:r>
              <w:t>If any of the questions were responded with ‘</w:t>
            </w:r>
            <w:r>
              <w:rPr>
                <w:u w:val="single"/>
              </w:rPr>
              <w:t>yes’</w:t>
            </w:r>
            <w:r>
              <w:t xml:space="preserve">, </w:t>
            </w:r>
            <w:r>
              <w:rPr>
                <w:b/>
                <w:bCs/>
              </w:rPr>
              <w:t>have those gaps been clearly identified, for example through EITI reporting?</w:t>
            </w:r>
          </w:p>
          <w:p w14:paraId="64491A1F"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 xml:space="preserve">No </w:t>
            </w:r>
          </w:p>
          <w:p w14:paraId="637C0256" w14:textId="77777777" w:rsidR="00BB62F4" w:rsidRDefault="00000000">
            <w:pPr>
              <w:shd w:val="clear" w:color="auto" w:fill="D9E2F3"/>
            </w:pPr>
            <w:r>
              <w:t>Explain:</w:t>
            </w:r>
          </w:p>
          <w:p w14:paraId="27727D61" w14:textId="77777777" w:rsidR="00BB62F4" w:rsidRDefault="00000000">
            <w:pPr>
              <w:numPr>
                <w:ilvl w:val="0"/>
                <w:numId w:val="26"/>
              </w:numPr>
              <w:shd w:val="clear" w:color="auto" w:fill="D9E2F3"/>
              <w:spacing w:after="0"/>
              <w:rPr>
                <w:rFonts w:ascii="EB Garamond" w:eastAsia="EB Garamond" w:hAnsi="EB Garamond" w:cs="EB Garamond"/>
                <w:color w:val="000000"/>
              </w:rPr>
            </w:pPr>
            <w:r>
              <w:rPr>
                <w:rFonts w:ascii="EB Garamond" w:eastAsia="EB Garamond" w:hAnsi="EB Garamond" w:cs="EB Garamond"/>
                <w:color w:val="000000"/>
              </w:rPr>
              <w:t>The NEITI oil and gas 2023 report noted that some companies failed to provide any BO information while others provided incomplete information.</w:t>
            </w:r>
          </w:p>
          <w:p w14:paraId="6E40A76F" w14:textId="77777777" w:rsidR="00BB62F4" w:rsidRDefault="00000000">
            <w:pPr>
              <w:numPr>
                <w:ilvl w:val="0"/>
                <w:numId w:val="26"/>
              </w:numPr>
              <w:shd w:val="clear" w:color="auto" w:fill="D9E2F3"/>
              <w:spacing w:before="0"/>
              <w:rPr>
                <w:rFonts w:ascii="EB Garamond" w:eastAsia="EB Garamond" w:hAnsi="EB Garamond" w:cs="EB Garamond"/>
                <w:color w:val="000000"/>
              </w:rPr>
            </w:pPr>
            <w:r>
              <w:rPr>
                <w:rFonts w:ascii="EB Garamond" w:eastAsia="EB Garamond" w:hAnsi="EB Garamond" w:cs="EB Garamond"/>
                <w:color w:val="000000"/>
              </w:rPr>
              <w:t>NEITI identified a need to strengthen the evaluation metrics used to score bids, transparent disclosure and public access detailing bidder information remains limited through the NSWG bid process report.</w:t>
            </w:r>
          </w:p>
          <w:p w14:paraId="41644C2E" w14:textId="77777777" w:rsidR="00BB62F4" w:rsidRDefault="00BB62F4">
            <w:pPr>
              <w:shd w:val="clear" w:color="auto" w:fill="D9E2F3"/>
            </w:pPr>
          </w:p>
          <w:p w14:paraId="3FCB481E" w14:textId="77777777" w:rsidR="00BB62F4" w:rsidRDefault="00000000">
            <w:pPr>
              <w:rPr>
                <w:b/>
                <w:bCs/>
              </w:rPr>
            </w:pPr>
            <w:r>
              <w:rPr>
                <w:b/>
                <w:bCs/>
              </w:rPr>
              <w:t>Are the gaps due to legal or practical barriers?</w:t>
            </w:r>
          </w:p>
          <w:p w14:paraId="749A84B5"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66E1FD7A" w14:textId="77777777" w:rsidR="00BB62F4" w:rsidRDefault="00000000">
            <w:r>
              <w:rPr>
                <w:b/>
                <w:bCs/>
              </w:rPr>
              <w:t>If yes, explain plans to overcome barriers to disclosure information on bidding rounds</w:t>
            </w:r>
            <w:r>
              <w:t>:</w:t>
            </w:r>
          </w:p>
          <w:p w14:paraId="06C6168D" w14:textId="77777777" w:rsidR="00BB62F4" w:rsidRDefault="00BB62F4"/>
          <w:p w14:paraId="785BE1E8" w14:textId="77777777" w:rsidR="00BB62F4" w:rsidRDefault="00000000">
            <w:pPr>
              <w:shd w:val="clear" w:color="auto" w:fill="D9E2F3"/>
              <w:rPr>
                <w:i/>
                <w:iCs/>
              </w:rPr>
            </w:pPr>
            <w:r>
              <w:t xml:space="preserve">Explain: </w:t>
            </w:r>
            <w:r>
              <w:rPr>
                <w:i/>
                <w:iCs/>
              </w:rPr>
              <w:t>can include a reference to work plan activities, MSG meeting minutes etc.</w:t>
            </w:r>
          </w:p>
          <w:p w14:paraId="77F67471" w14:textId="77777777" w:rsidR="00BB62F4" w:rsidRDefault="00000000">
            <w:pPr>
              <w:shd w:val="clear" w:color="auto" w:fill="D9E2F3"/>
              <w:rPr>
                <w:rFonts w:ascii="Times New Roman" w:eastAsia="Times New Roman" w:hAnsi="Times New Roman" w:cs="Times New Roman"/>
                <w:sz w:val="24"/>
                <w:szCs w:val="24"/>
              </w:rPr>
            </w:pPr>
            <w:r>
              <w:rPr>
                <w:rFonts w:ascii="EB Garamond" w:eastAsia="EB Garamond" w:hAnsi="EB Garamond" w:cs="EB Garamond"/>
                <w:color w:val="000000"/>
              </w:rPr>
              <w:t xml:space="preserve">The gaps are due to both practical and legal barriers, the NUPRC is engaging with companies to ensure compliance and the improvement of the Commission's disclosure processes and </w:t>
            </w:r>
            <w:proofErr w:type="gramStart"/>
            <w:r>
              <w:rPr>
                <w:rFonts w:ascii="EB Garamond" w:eastAsia="EB Garamond" w:hAnsi="EB Garamond" w:cs="EB Garamond"/>
                <w:color w:val="000000"/>
              </w:rPr>
              <w:t>platforms ,</w:t>
            </w:r>
            <w:proofErr w:type="gramEnd"/>
            <w:r>
              <w:rPr>
                <w:rFonts w:ascii="EB Garamond" w:eastAsia="EB Garamond" w:hAnsi="EB Garamond" w:cs="EB Garamond"/>
                <w:color w:val="000000"/>
              </w:rPr>
              <w:t xml:space="preserve"> while the PIA 2021 mandates transparency and full implementation which is ongoing.</w:t>
            </w:r>
          </w:p>
          <w:p w14:paraId="44DE1A4C" w14:textId="71155C16" w:rsidR="00BB62F4" w:rsidRPr="0094427B" w:rsidRDefault="0094427B">
            <w:pPr>
              <w:numPr>
                <w:ilvl w:val="0"/>
                <w:numId w:val="27"/>
              </w:numPr>
              <w:shd w:val="clear" w:color="auto" w:fill="D9E2F3"/>
              <w:rPr>
                <w:rStyle w:val="Hyperlink"/>
                <w:rFonts w:ascii="EB Garamond" w:eastAsia="EB Garamond" w:hAnsi="EB Garamond" w:cs="EB Garamond"/>
              </w:rPr>
            </w:pPr>
            <w:r>
              <w:rPr>
                <w:rFonts w:ascii="EB Garamond" w:eastAsia="EB Garamond" w:hAnsi="EB Garamond" w:cs="EB Garamond"/>
                <w:color w:val="0000FF"/>
                <w:u w:val="single"/>
              </w:rPr>
              <w:fldChar w:fldCharType="begin"/>
            </w:r>
            <w:r>
              <w:rPr>
                <w:rFonts w:ascii="EB Garamond" w:eastAsia="EB Garamond" w:hAnsi="EB Garamond" w:cs="EB Garamond"/>
                <w:color w:val="0000FF"/>
                <w:u w:val="single"/>
              </w:rPr>
              <w:instrText>HYPERLINK "https://www.nuprc.gov.ng/laws/conversion-contracts"</w:instrText>
            </w:r>
            <w:r>
              <w:rPr>
                <w:rFonts w:ascii="EB Garamond" w:eastAsia="EB Garamond" w:hAnsi="EB Garamond" w:cs="EB Garamond"/>
                <w:color w:val="0000FF"/>
                <w:u w:val="single"/>
              </w:rPr>
            </w:r>
            <w:r>
              <w:rPr>
                <w:rFonts w:ascii="EB Garamond" w:eastAsia="EB Garamond" w:hAnsi="EB Garamond" w:cs="EB Garamond"/>
                <w:color w:val="0000FF"/>
                <w:u w:val="single"/>
              </w:rPr>
              <w:fldChar w:fldCharType="separate"/>
            </w:r>
            <w:r w:rsidR="00000000" w:rsidRPr="0094427B">
              <w:rPr>
                <w:rStyle w:val="Hyperlink"/>
                <w:rFonts w:ascii="EB Garamond" w:eastAsia="EB Garamond" w:hAnsi="EB Garamond" w:cs="EB Garamond"/>
              </w:rPr>
              <w:t>NUPRC-NEITI TO DEE</w:t>
            </w:r>
            <w:r w:rsidR="00000000" w:rsidRPr="0094427B">
              <w:rPr>
                <w:rStyle w:val="Hyperlink"/>
                <w:rFonts w:ascii="EB Garamond" w:eastAsia="EB Garamond" w:hAnsi="EB Garamond" w:cs="EB Garamond"/>
              </w:rPr>
              <w:t>P</w:t>
            </w:r>
            <w:r w:rsidR="00000000" w:rsidRPr="0094427B">
              <w:rPr>
                <w:rStyle w:val="Hyperlink"/>
                <w:rFonts w:ascii="EB Garamond" w:eastAsia="EB Garamond" w:hAnsi="EB Garamond" w:cs="EB Garamond"/>
              </w:rPr>
              <w:t>EN CONTRACT TRA</w:t>
            </w:r>
            <w:r w:rsidR="00000000" w:rsidRPr="0094427B">
              <w:rPr>
                <w:rStyle w:val="Hyperlink"/>
                <w:rFonts w:ascii="EB Garamond" w:eastAsia="EB Garamond" w:hAnsi="EB Garamond" w:cs="EB Garamond"/>
              </w:rPr>
              <w:t>N</w:t>
            </w:r>
            <w:r w:rsidR="00000000" w:rsidRPr="0094427B">
              <w:rPr>
                <w:rStyle w:val="Hyperlink"/>
                <w:rFonts w:ascii="EB Garamond" w:eastAsia="EB Garamond" w:hAnsi="EB Garamond" w:cs="EB Garamond"/>
              </w:rPr>
              <w:t>SPARENCY</w:t>
            </w:r>
            <w:r w:rsidR="00A35248">
              <w:rPr>
                <w:rStyle w:val="Hyperlink"/>
                <w:rFonts w:ascii="EB Garamond" w:eastAsia="EB Garamond" w:hAnsi="EB Garamond" w:cs="EB Garamond"/>
              </w:rPr>
              <w:t xml:space="preserve"> </w:t>
            </w:r>
          </w:p>
          <w:p w14:paraId="1C41F93B" w14:textId="5BC44B4E" w:rsidR="0094427B" w:rsidRPr="00A35248" w:rsidRDefault="0094427B">
            <w:pPr>
              <w:numPr>
                <w:ilvl w:val="0"/>
                <w:numId w:val="27"/>
              </w:numPr>
              <w:shd w:val="clear" w:color="auto" w:fill="D9E2F3"/>
              <w:rPr>
                <w:rFonts w:ascii="EB Garamond" w:eastAsia="EB Garamond" w:hAnsi="EB Garamond" w:cs="EB Garamond"/>
                <w:color w:val="0070C0"/>
              </w:rPr>
            </w:pPr>
            <w:r>
              <w:rPr>
                <w:rFonts w:ascii="EB Garamond" w:eastAsia="EB Garamond" w:hAnsi="EB Garamond" w:cs="EB Garamond"/>
                <w:color w:val="0000FF"/>
                <w:u w:val="single"/>
              </w:rPr>
              <w:fldChar w:fldCharType="end"/>
            </w:r>
            <w:hyperlink r:id="rId95" w:history="1">
              <w:r w:rsidRPr="00A35248">
                <w:rPr>
                  <w:rStyle w:val="Hyperlink"/>
                  <w:rFonts w:ascii="EB Garamond" w:eastAsia="EB Garamond" w:hAnsi="EB Garamond" w:cs="EB Garamond"/>
                  <w:color w:val="0070C0"/>
                </w:rPr>
                <w:t>https://neiti.</w:t>
              </w:r>
              <w:r w:rsidRPr="00A35248">
                <w:rPr>
                  <w:rStyle w:val="Hyperlink"/>
                  <w:rFonts w:ascii="EB Garamond" w:eastAsia="EB Garamond" w:hAnsi="EB Garamond" w:cs="EB Garamond"/>
                  <w:color w:val="0070C0"/>
                </w:rPr>
                <w:t>g</w:t>
              </w:r>
              <w:r w:rsidRPr="00A35248">
                <w:rPr>
                  <w:rStyle w:val="Hyperlink"/>
                  <w:rFonts w:ascii="EB Garamond" w:eastAsia="EB Garamond" w:hAnsi="EB Garamond" w:cs="EB Garamond"/>
                  <w:color w:val="0070C0"/>
                </w:rPr>
                <w:t>ov.ng/VALIDATION/2026/TRANSPARENCY/NSWG%20Review%20-%20CT.docx</w:t>
              </w:r>
            </w:hyperlink>
            <w:r w:rsidRPr="00A35248">
              <w:rPr>
                <w:rFonts w:ascii="EB Garamond" w:eastAsia="EB Garamond" w:hAnsi="EB Garamond" w:cs="EB Garamond"/>
                <w:color w:val="0070C0"/>
              </w:rPr>
              <w:t xml:space="preserve"> </w:t>
            </w:r>
          </w:p>
          <w:p w14:paraId="17A3AA35" w14:textId="77777777" w:rsidR="00BB62F4" w:rsidRDefault="00BB62F4">
            <w:pPr>
              <w:shd w:val="clear" w:color="auto" w:fill="D9E2F3"/>
              <w:rPr>
                <w:b/>
                <w:bCs/>
              </w:rPr>
            </w:pPr>
          </w:p>
        </w:tc>
      </w:tr>
      <w:tr w:rsidR="00BB62F4" w14:paraId="6875CCA0" w14:textId="77777777">
        <w:tc>
          <w:tcPr>
            <w:tcW w:w="1530" w:type="dxa"/>
            <w:tcBorders>
              <w:top w:val="nil"/>
              <w:left w:val="nil"/>
              <w:bottom w:val="single" w:sz="4" w:space="0" w:color="000000"/>
              <w:right w:val="nil"/>
            </w:tcBorders>
            <w:shd w:val="clear" w:color="auto" w:fill="B4C6E7"/>
          </w:tcPr>
          <w:p w14:paraId="3C6D40D2" w14:textId="77777777" w:rsidR="00BB62F4" w:rsidRDefault="00000000">
            <w:pPr>
              <w:rPr>
                <w:b/>
                <w:bCs/>
              </w:rPr>
            </w:pPr>
            <w:r>
              <w:rPr>
                <w:b/>
                <w:bCs/>
              </w:rPr>
              <w:lastRenderedPageBreak/>
              <w:t xml:space="preserve">Encouraged </w:t>
            </w:r>
          </w:p>
        </w:tc>
        <w:tc>
          <w:tcPr>
            <w:tcW w:w="6975" w:type="dxa"/>
            <w:tcBorders>
              <w:top w:val="nil"/>
              <w:left w:val="nil"/>
              <w:bottom w:val="single" w:sz="4" w:space="0" w:color="000000"/>
              <w:right w:val="nil"/>
            </w:tcBorders>
            <w:shd w:val="clear" w:color="auto" w:fill="B4C6E7"/>
          </w:tcPr>
          <w:p w14:paraId="465C92BA" w14:textId="77777777" w:rsidR="00BB62F4" w:rsidRDefault="00000000">
            <w:pPr>
              <w:rPr>
                <w:b/>
                <w:bCs/>
              </w:rPr>
            </w:pPr>
            <w:r>
              <w:rPr>
                <w:b/>
                <w:bCs/>
              </w:rPr>
              <w:t xml:space="preserve">2.2.a - Selection of methods for contract/license award or transfer </w:t>
            </w:r>
          </w:p>
        </w:tc>
      </w:tr>
      <w:tr w:rsidR="00BB62F4" w14:paraId="52464DAE" w14:textId="77777777">
        <w:trPr>
          <w:trHeight w:val="1267"/>
        </w:trPr>
        <w:tc>
          <w:tcPr>
            <w:tcW w:w="1530" w:type="dxa"/>
            <w:tcBorders>
              <w:top w:val="single" w:sz="4" w:space="0" w:color="000000"/>
              <w:left w:val="nil"/>
              <w:bottom w:val="single" w:sz="4" w:space="0" w:color="000000"/>
              <w:right w:val="nil"/>
            </w:tcBorders>
          </w:tcPr>
          <w:p w14:paraId="0A37F4EA" w14:textId="77777777" w:rsidR="00BB62F4" w:rsidRDefault="00000000">
            <w:pPr>
              <w:rPr>
                <w:i/>
                <w:iCs/>
              </w:rPr>
            </w:pPr>
            <w:r>
              <w:rPr>
                <w:i/>
                <w:iCs/>
              </w:rPr>
              <w:t>Availability</w:t>
            </w:r>
          </w:p>
        </w:tc>
        <w:tc>
          <w:tcPr>
            <w:tcW w:w="6975" w:type="dxa"/>
            <w:tcBorders>
              <w:top w:val="single" w:sz="4" w:space="0" w:color="000000"/>
              <w:left w:val="nil"/>
              <w:bottom w:val="single" w:sz="4" w:space="0" w:color="000000"/>
              <w:right w:val="nil"/>
            </w:tcBorders>
          </w:tcPr>
          <w:p w14:paraId="1FBB5FDE" w14:textId="77777777" w:rsidR="00BB62F4" w:rsidRDefault="00000000">
            <w:pPr>
              <w:rPr>
                <w:b/>
                <w:bCs/>
                <w:highlight w:val="yellow"/>
              </w:rPr>
            </w:pPr>
            <w:r>
              <w:t xml:space="preserve">In some countries, government can select </w:t>
            </w:r>
            <w:r>
              <w:rPr>
                <w:b/>
                <w:bCs/>
              </w:rPr>
              <w:t>different methods for awarding a contract or license</w:t>
            </w:r>
            <w:r>
              <w:t xml:space="preserve"> (</w:t>
            </w:r>
            <w:hyperlink w:anchor="_heading=h.mgq0sbldaoe">
              <w:r>
                <w:rPr>
                  <w:color w:val="0000FF"/>
                  <w:u w:val="single"/>
                </w:rPr>
                <w:t>see section above</w:t>
              </w:r>
            </w:hyperlink>
            <w:r>
              <w:t xml:space="preserve">). If this is the case in your country, the MSG is </w:t>
            </w:r>
            <w:r>
              <w:rPr>
                <w:u w:val="single"/>
              </w:rPr>
              <w:t>encouraged</w:t>
            </w:r>
            <w:r>
              <w:t xml:space="preserve"> to publish an explanation of the rules that determine which procedure should be used and why a particular procedure was selected.</w:t>
            </w:r>
          </w:p>
          <w:p w14:paraId="72599D97" w14:textId="77777777" w:rsidR="00BB62F4" w:rsidRDefault="00000000">
            <w:pPr>
              <w:rPr>
                <w:b/>
                <w:bCs/>
                <w:i/>
                <w:iCs/>
              </w:rPr>
            </w:pPr>
            <w:r>
              <w:rPr>
                <w:b/>
                <w:bCs/>
                <w:i/>
                <w:iCs/>
              </w:rPr>
              <w:t xml:space="preserve">If this is not applicable to your country, you can skip this question. </w:t>
            </w:r>
          </w:p>
          <w:p w14:paraId="72FF90CE" w14:textId="77777777" w:rsidR="00BB62F4" w:rsidRDefault="00000000">
            <w:pPr>
              <w:rPr>
                <w:b/>
                <w:bCs/>
              </w:rPr>
            </w:pPr>
            <w:r>
              <w:rPr>
                <w:b/>
                <w:bCs/>
                <w:i/>
                <w:iCs/>
              </w:rPr>
              <w:t>If this is applicable to your country, respond to the following</w:t>
            </w:r>
            <w:r>
              <w:rPr>
                <w:b/>
                <w:bCs/>
              </w:rPr>
              <w:t xml:space="preserve">: </w:t>
            </w:r>
          </w:p>
          <w:p w14:paraId="51631EDA" w14:textId="77777777" w:rsidR="00BB62F4" w:rsidRDefault="00000000">
            <w:pPr>
              <w:rPr>
                <w:b/>
                <w:bCs/>
              </w:rPr>
            </w:pPr>
            <w:r>
              <w:rPr>
                <w:b/>
                <w:bCs/>
              </w:rPr>
              <w:t xml:space="preserve">Has the MSG included: </w:t>
            </w:r>
          </w:p>
          <w:p w14:paraId="62A38050" w14:textId="77777777" w:rsidR="00BB62F4" w:rsidRDefault="00000000">
            <w:pPr>
              <w:numPr>
                <w:ilvl w:val="0"/>
                <w:numId w:val="20"/>
              </w:numPr>
              <w:pBdr>
                <w:top w:val="nil"/>
                <w:left w:val="nil"/>
                <w:bottom w:val="nil"/>
                <w:right w:val="nil"/>
                <w:between w:val="nil"/>
              </w:pBdr>
              <w:rPr>
                <w:color w:val="000000"/>
              </w:rPr>
            </w:pPr>
            <w:r>
              <w:rPr>
                <w:color w:val="000000"/>
              </w:rPr>
              <w:t>A clear explanation of the rules determining which award method should be used</w:t>
            </w:r>
            <w:r>
              <w:rPr>
                <w:rFonts w:ascii="MS Gothic" w:eastAsia="MS Gothic" w:hAnsi="MS Gothic" w:cs="MS Gothic"/>
                <w:color w:val="000000"/>
              </w:rPr>
              <w:t xml:space="preserve"> ☐</w:t>
            </w:r>
            <w:r>
              <w:rPr>
                <w:color w:val="000000"/>
              </w:rPr>
              <w:t xml:space="preserve"> </w:t>
            </w:r>
            <w:proofErr w:type="gramStart"/>
            <w:r>
              <w:rPr>
                <w:color w:val="000000"/>
                <w:shd w:val="clear" w:color="auto" w:fill="D9E2F3"/>
              </w:rPr>
              <w:t xml:space="preserve">Yes </w:t>
            </w:r>
            <w:r>
              <w:rPr>
                <w:color w:val="000000"/>
              </w:rPr>
              <w:t xml:space="preserve"> </w:t>
            </w:r>
            <w:r>
              <w:rPr>
                <w:rFonts w:ascii="MS Gothic" w:eastAsia="MS Gothic" w:hAnsi="MS Gothic" w:cs="MS Gothic"/>
                <w:color w:val="000000"/>
              </w:rPr>
              <w:t>☐</w:t>
            </w:r>
            <w:proofErr w:type="gramEnd"/>
            <w:r>
              <w:rPr>
                <w:color w:val="000000"/>
                <w:shd w:val="clear" w:color="auto" w:fill="D9E2F3"/>
              </w:rPr>
              <w:t>No</w:t>
            </w:r>
          </w:p>
          <w:p w14:paraId="357E6537" w14:textId="77777777" w:rsidR="00BB62F4" w:rsidRDefault="00000000">
            <w:pPr>
              <w:pBdr>
                <w:top w:val="nil"/>
                <w:left w:val="nil"/>
                <w:bottom w:val="nil"/>
                <w:right w:val="nil"/>
                <w:between w:val="nil"/>
              </w:pBdr>
              <w:shd w:val="clear" w:color="auto" w:fill="FFFFFF"/>
              <w:ind w:left="360"/>
              <w:rPr>
                <w:i/>
                <w:iCs/>
                <w:color w:val="000000"/>
              </w:rPr>
            </w:pPr>
            <w:r>
              <w:rPr>
                <w:b/>
                <w:bCs/>
                <w:i/>
                <w:iCs/>
                <w:color w:val="000000"/>
              </w:rPr>
              <w:lastRenderedPageBreak/>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4CFDB4E3"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3C11545D"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r>
              <w:rPr>
                <w:i/>
                <w:iCs/>
                <w:color w:val="000000"/>
                <w:shd w:val="clear" w:color="auto" w:fill="D9E2F3"/>
              </w:rPr>
              <w:br/>
            </w:r>
          </w:p>
          <w:p w14:paraId="7FDE3CD6" w14:textId="77777777" w:rsidR="00BB62F4" w:rsidRDefault="00000000">
            <w:pPr>
              <w:numPr>
                <w:ilvl w:val="0"/>
                <w:numId w:val="20"/>
              </w:numPr>
              <w:pBdr>
                <w:top w:val="nil"/>
                <w:left w:val="nil"/>
                <w:bottom w:val="nil"/>
                <w:right w:val="nil"/>
                <w:between w:val="nil"/>
              </w:pBdr>
              <w:rPr>
                <w:color w:val="000000"/>
              </w:rPr>
            </w:pPr>
            <w:r>
              <w:rPr>
                <w:color w:val="000000"/>
              </w:rPr>
              <w:t xml:space="preserve">The </w:t>
            </w:r>
            <w:r>
              <w:rPr>
                <w:b/>
                <w:bCs/>
                <w:color w:val="000000"/>
              </w:rPr>
              <w:t>rationale</w:t>
            </w:r>
            <w:r>
              <w:rPr>
                <w:color w:val="000000"/>
              </w:rPr>
              <w:t xml:space="preserve"> for using a particular </w:t>
            </w:r>
            <w:proofErr w:type="gramStart"/>
            <w:r>
              <w:rPr>
                <w:color w:val="000000"/>
              </w:rPr>
              <w:t xml:space="preserve">method  </w:t>
            </w:r>
            <w:r>
              <w:rPr>
                <w:rFonts w:ascii="MS Gothic" w:eastAsia="MS Gothic" w:hAnsi="MS Gothic" w:cs="MS Gothic"/>
                <w:color w:val="000000"/>
              </w:rPr>
              <w:t>☐</w:t>
            </w:r>
            <w:proofErr w:type="gramEnd"/>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shd w:val="clear" w:color="auto" w:fill="D9E2F3"/>
              </w:rPr>
              <w:t>No</w:t>
            </w:r>
          </w:p>
          <w:p w14:paraId="0BD0E1C5" w14:textId="77777777" w:rsidR="00BB62F4" w:rsidRDefault="00000000">
            <w:pPr>
              <w:pBdr>
                <w:top w:val="nil"/>
                <w:left w:val="nil"/>
                <w:bottom w:val="nil"/>
                <w:right w:val="nil"/>
                <w:between w:val="nil"/>
              </w:pBdr>
              <w:shd w:val="clear" w:color="auto" w:fill="FFFFFF"/>
              <w:ind w:left="360"/>
              <w:rPr>
                <w:i/>
                <w:iCs/>
                <w:color w:val="000000"/>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6771F823"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1A49520D"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r>
              <w:rPr>
                <w:i/>
                <w:iCs/>
                <w:color w:val="000000"/>
                <w:shd w:val="clear" w:color="auto" w:fill="D9E2F3"/>
              </w:rPr>
              <w:br/>
            </w:r>
          </w:p>
          <w:p w14:paraId="09DD6F74" w14:textId="77777777" w:rsidR="00BB62F4" w:rsidRDefault="00000000">
            <w:pPr>
              <w:numPr>
                <w:ilvl w:val="0"/>
                <w:numId w:val="20"/>
              </w:numPr>
              <w:pBdr>
                <w:top w:val="nil"/>
                <w:left w:val="nil"/>
                <w:bottom w:val="nil"/>
                <w:right w:val="nil"/>
                <w:between w:val="nil"/>
              </w:pBdr>
              <w:rPr>
                <w:color w:val="000000"/>
              </w:rPr>
            </w:pPr>
            <w:r>
              <w:rPr>
                <w:color w:val="000000"/>
              </w:rPr>
              <w:t>The award or transfer processes to which these methods applied</w:t>
            </w:r>
          </w:p>
          <w:p w14:paraId="0F09677F" w14:textId="77777777" w:rsidR="00BB62F4" w:rsidRDefault="00000000">
            <w:pPr>
              <w:pBdr>
                <w:top w:val="nil"/>
                <w:left w:val="nil"/>
                <w:bottom w:val="nil"/>
                <w:right w:val="nil"/>
                <w:between w:val="nil"/>
              </w:pBdr>
              <w:ind w:left="360"/>
              <w:rPr>
                <w:color w:val="000000"/>
                <w:shd w:val="clear" w:color="auto" w:fill="D9E2F3"/>
              </w:rPr>
            </w:pP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shd w:val="clear" w:color="auto" w:fill="D9E2F3"/>
              </w:rPr>
              <w:t>No</w:t>
            </w:r>
          </w:p>
          <w:p w14:paraId="76D42902" w14:textId="77777777" w:rsidR="00BB62F4" w:rsidRDefault="00000000">
            <w:pPr>
              <w:pBdr>
                <w:top w:val="nil"/>
                <w:left w:val="nil"/>
                <w:bottom w:val="nil"/>
                <w:right w:val="nil"/>
                <w:between w:val="nil"/>
              </w:pBdr>
              <w:shd w:val="clear" w:color="auto" w:fill="FFFFFF"/>
              <w:ind w:left="360"/>
              <w:rPr>
                <w:i/>
                <w:iCs/>
                <w:color w:val="000000"/>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44362292"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6BD903CB"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r>
              <w:rPr>
                <w:i/>
                <w:iCs/>
                <w:color w:val="000000"/>
                <w:shd w:val="clear" w:color="auto" w:fill="D9E2F3"/>
              </w:rPr>
              <w:br/>
            </w:r>
          </w:p>
          <w:p w14:paraId="7F736AE5" w14:textId="77777777" w:rsidR="00BB62F4" w:rsidRDefault="00000000">
            <w:pPr>
              <w:numPr>
                <w:ilvl w:val="0"/>
                <w:numId w:val="20"/>
              </w:numPr>
              <w:pBdr>
                <w:top w:val="nil"/>
                <w:left w:val="nil"/>
                <w:bottom w:val="nil"/>
                <w:right w:val="nil"/>
                <w:between w:val="nil"/>
              </w:pBdr>
              <w:rPr>
                <w:color w:val="000000"/>
              </w:rPr>
            </w:pPr>
            <w:r>
              <w:rPr>
                <w:color w:val="000000"/>
              </w:rPr>
              <w:t xml:space="preserve">The </w:t>
            </w:r>
            <w:r>
              <w:rPr>
                <w:b/>
                <w:bCs/>
                <w:color w:val="000000"/>
              </w:rPr>
              <w:t>procedures</w:t>
            </w:r>
            <w:r>
              <w:rPr>
                <w:color w:val="000000"/>
              </w:rPr>
              <w:t xml:space="preserve"> and </w:t>
            </w:r>
            <w:r>
              <w:rPr>
                <w:b/>
                <w:bCs/>
                <w:color w:val="000000"/>
              </w:rPr>
              <w:t>criteria</w:t>
            </w:r>
            <w:r>
              <w:rPr>
                <w:color w:val="000000"/>
              </w:rPr>
              <w:t xml:space="preserve"> followed </w:t>
            </w:r>
            <w:r>
              <w:rPr>
                <w:rFonts w:ascii="MS Gothic" w:eastAsia="MS Gothic" w:hAnsi="MS Gothic" w:cs="MS Gothic"/>
                <w:color w:val="000000"/>
              </w:rPr>
              <w:t>☐</w:t>
            </w:r>
            <w:r>
              <w:rPr>
                <w:color w:val="000000"/>
              </w:rPr>
              <w:t xml:space="preserve"> </w:t>
            </w:r>
            <w:proofErr w:type="gramStart"/>
            <w:r>
              <w:rPr>
                <w:color w:val="000000"/>
                <w:shd w:val="clear" w:color="auto" w:fill="D9E2F3"/>
              </w:rPr>
              <w:t xml:space="preserve">Yes </w:t>
            </w:r>
            <w:r>
              <w:rPr>
                <w:color w:val="000000"/>
              </w:rPr>
              <w:t xml:space="preserve"> </w:t>
            </w:r>
            <w:r>
              <w:rPr>
                <w:rFonts w:ascii="MS Gothic" w:eastAsia="MS Gothic" w:hAnsi="MS Gothic" w:cs="MS Gothic"/>
                <w:color w:val="000000"/>
              </w:rPr>
              <w:t>☐</w:t>
            </w:r>
            <w:proofErr w:type="gramEnd"/>
            <w:r>
              <w:rPr>
                <w:color w:val="000000"/>
                <w:shd w:val="clear" w:color="auto" w:fill="D9E2F3"/>
              </w:rPr>
              <w:t>No</w:t>
            </w:r>
          </w:p>
          <w:p w14:paraId="09D8BF9E" w14:textId="77777777" w:rsidR="00BB62F4" w:rsidRDefault="00000000">
            <w:pPr>
              <w:pBdr>
                <w:top w:val="nil"/>
                <w:left w:val="nil"/>
                <w:bottom w:val="nil"/>
                <w:right w:val="nil"/>
                <w:between w:val="nil"/>
              </w:pBdr>
              <w:shd w:val="clear" w:color="auto" w:fill="FFFFFF"/>
              <w:ind w:left="360"/>
              <w:rPr>
                <w:i/>
                <w:iCs/>
                <w:color w:val="000000"/>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5B3BBD94"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1DE4C4EA"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r>
              <w:rPr>
                <w:i/>
                <w:iCs/>
                <w:color w:val="000000"/>
                <w:shd w:val="clear" w:color="auto" w:fill="D9E2F3"/>
              </w:rPr>
              <w:br/>
            </w:r>
          </w:p>
          <w:p w14:paraId="6C62F8EE" w14:textId="77777777" w:rsidR="00BB62F4" w:rsidRDefault="00000000">
            <w:pPr>
              <w:numPr>
                <w:ilvl w:val="0"/>
                <w:numId w:val="20"/>
              </w:numPr>
              <w:pBdr>
                <w:top w:val="nil"/>
                <w:left w:val="nil"/>
                <w:bottom w:val="nil"/>
                <w:right w:val="nil"/>
                <w:between w:val="nil"/>
              </w:pBdr>
              <w:rPr>
                <w:color w:val="000000"/>
              </w:rPr>
            </w:pPr>
            <w:r>
              <w:rPr>
                <w:color w:val="000000"/>
              </w:rPr>
              <w:t xml:space="preserve">The </w:t>
            </w:r>
            <w:r>
              <w:rPr>
                <w:b/>
                <w:bCs/>
                <w:color w:val="000000"/>
              </w:rPr>
              <w:t>institutions</w:t>
            </w:r>
            <w:r>
              <w:rPr>
                <w:color w:val="000000"/>
              </w:rPr>
              <w:t xml:space="preserve"> involved </w:t>
            </w:r>
            <w:r>
              <w:rPr>
                <w:rFonts w:ascii="MS Gothic" w:eastAsia="MS Gothic" w:hAnsi="MS Gothic" w:cs="MS Gothic"/>
                <w:color w:val="000000"/>
              </w:rPr>
              <w:t>☐</w:t>
            </w:r>
            <w:r>
              <w:rPr>
                <w:color w:val="000000"/>
              </w:rPr>
              <w:t xml:space="preserve"> </w:t>
            </w:r>
            <w:proofErr w:type="gramStart"/>
            <w:r>
              <w:rPr>
                <w:color w:val="000000"/>
                <w:shd w:val="clear" w:color="auto" w:fill="D9E2F3"/>
              </w:rPr>
              <w:t xml:space="preserve">Yes </w:t>
            </w:r>
            <w:r>
              <w:rPr>
                <w:color w:val="000000"/>
              </w:rPr>
              <w:t xml:space="preserve"> </w:t>
            </w:r>
            <w:r>
              <w:rPr>
                <w:rFonts w:ascii="MS Gothic" w:eastAsia="MS Gothic" w:hAnsi="MS Gothic" w:cs="MS Gothic"/>
                <w:color w:val="000000"/>
              </w:rPr>
              <w:t>☐</w:t>
            </w:r>
            <w:proofErr w:type="gramEnd"/>
            <w:r>
              <w:rPr>
                <w:color w:val="000000"/>
                <w:shd w:val="clear" w:color="auto" w:fill="D9E2F3"/>
              </w:rPr>
              <w:t>No</w:t>
            </w:r>
          </w:p>
          <w:p w14:paraId="2BF4BDF2" w14:textId="77777777" w:rsidR="00BB62F4" w:rsidRDefault="00000000">
            <w:pPr>
              <w:pBdr>
                <w:top w:val="nil"/>
                <w:left w:val="nil"/>
                <w:bottom w:val="nil"/>
                <w:right w:val="nil"/>
                <w:between w:val="nil"/>
              </w:pBdr>
              <w:shd w:val="clear" w:color="auto" w:fill="FFFFFF"/>
              <w:ind w:left="360"/>
              <w:rPr>
                <w:i/>
                <w:iCs/>
                <w:color w:val="000000"/>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6727AD93"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783AD73C"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r>
              <w:rPr>
                <w:i/>
                <w:iCs/>
                <w:color w:val="000000"/>
                <w:shd w:val="clear" w:color="auto" w:fill="D9E2F3"/>
              </w:rPr>
              <w:br/>
            </w:r>
          </w:p>
          <w:p w14:paraId="04601C26" w14:textId="77777777" w:rsidR="00BB62F4" w:rsidRDefault="00000000">
            <w:pPr>
              <w:numPr>
                <w:ilvl w:val="0"/>
                <w:numId w:val="20"/>
              </w:numPr>
              <w:pBdr>
                <w:top w:val="nil"/>
                <w:left w:val="nil"/>
                <w:bottom w:val="nil"/>
                <w:right w:val="nil"/>
                <w:between w:val="nil"/>
              </w:pBdr>
              <w:rPr>
                <w:color w:val="000000"/>
              </w:rPr>
            </w:pPr>
            <w:r>
              <w:rPr>
                <w:color w:val="000000"/>
              </w:rPr>
              <w:t xml:space="preserve">The </w:t>
            </w:r>
            <w:r>
              <w:rPr>
                <w:b/>
                <w:bCs/>
                <w:color w:val="000000"/>
              </w:rPr>
              <w:t>outcomes</w:t>
            </w:r>
            <w:r>
              <w:rPr>
                <w:color w:val="000000"/>
              </w:rPr>
              <w:t xml:space="preserve"> of the award or transfers process(es) </w:t>
            </w:r>
            <w:r>
              <w:rPr>
                <w:rFonts w:ascii="MS Gothic" w:eastAsia="MS Gothic" w:hAnsi="MS Gothic" w:cs="MS Gothic"/>
                <w:color w:val="000000"/>
              </w:rPr>
              <w:t>☐</w:t>
            </w:r>
            <w:r>
              <w:rPr>
                <w:color w:val="000000"/>
              </w:rPr>
              <w:t xml:space="preserve"> </w:t>
            </w:r>
            <w:proofErr w:type="gramStart"/>
            <w:r>
              <w:rPr>
                <w:color w:val="000000"/>
                <w:shd w:val="clear" w:color="auto" w:fill="D9E2F3"/>
              </w:rPr>
              <w:t xml:space="preserve">Yes </w:t>
            </w:r>
            <w:r>
              <w:rPr>
                <w:color w:val="000000"/>
              </w:rPr>
              <w:t xml:space="preserve"> </w:t>
            </w:r>
            <w:r>
              <w:rPr>
                <w:rFonts w:ascii="MS Gothic" w:eastAsia="MS Gothic" w:hAnsi="MS Gothic" w:cs="MS Gothic"/>
                <w:color w:val="000000"/>
              </w:rPr>
              <w:t>☐</w:t>
            </w:r>
            <w:proofErr w:type="gramEnd"/>
            <w:r>
              <w:rPr>
                <w:color w:val="000000"/>
                <w:shd w:val="clear" w:color="auto" w:fill="D9E2F3"/>
              </w:rPr>
              <w:t>No</w:t>
            </w:r>
          </w:p>
          <w:p w14:paraId="7624A150" w14:textId="77777777" w:rsidR="00BB62F4" w:rsidRDefault="00000000">
            <w:pPr>
              <w:pBdr>
                <w:top w:val="nil"/>
                <w:left w:val="nil"/>
                <w:bottom w:val="nil"/>
                <w:right w:val="nil"/>
                <w:between w:val="nil"/>
              </w:pBdr>
              <w:shd w:val="clear" w:color="auto" w:fill="FFFFFF"/>
              <w:ind w:left="360"/>
              <w:rPr>
                <w:i/>
                <w:iCs/>
                <w:color w:val="000000"/>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764D6D26"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13614B03"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16875D7A" w14:textId="77777777" w:rsidR="00BB62F4" w:rsidRDefault="00BB62F4"/>
          <w:p w14:paraId="6219CB50" w14:textId="77777777" w:rsidR="00BB62F4" w:rsidRDefault="00000000">
            <w:pPr>
              <w:numPr>
                <w:ilvl w:val="0"/>
                <w:numId w:val="20"/>
              </w:numPr>
              <w:pBdr>
                <w:top w:val="nil"/>
                <w:left w:val="nil"/>
                <w:bottom w:val="nil"/>
                <w:right w:val="nil"/>
                <w:between w:val="nil"/>
              </w:pBdr>
            </w:pPr>
            <w:r>
              <w:rPr>
                <w:color w:val="000000"/>
              </w:rPr>
              <w:t xml:space="preserve">Did the process entail fast-tracking of applications?  </w:t>
            </w:r>
            <w:r>
              <w:rPr>
                <w:rFonts w:ascii="MS Gothic" w:eastAsia="MS Gothic" w:hAnsi="MS Gothic" w:cs="MS Gothic"/>
                <w:color w:val="000000"/>
              </w:rPr>
              <w:t>☐</w:t>
            </w:r>
            <w:r>
              <w:rPr>
                <w:color w:val="000000"/>
              </w:rPr>
              <w:t xml:space="preserve"> </w:t>
            </w:r>
            <w:proofErr w:type="gramStart"/>
            <w:r>
              <w:rPr>
                <w:color w:val="000000"/>
                <w:shd w:val="clear" w:color="auto" w:fill="D9E2F3"/>
              </w:rPr>
              <w:t xml:space="preserve">Yes </w:t>
            </w:r>
            <w:r>
              <w:rPr>
                <w:color w:val="000000"/>
              </w:rPr>
              <w:t xml:space="preserve"> </w:t>
            </w:r>
            <w:r>
              <w:rPr>
                <w:rFonts w:ascii="MS Gothic" w:eastAsia="MS Gothic" w:hAnsi="MS Gothic" w:cs="MS Gothic"/>
                <w:color w:val="000000"/>
              </w:rPr>
              <w:t>☐</w:t>
            </w:r>
            <w:proofErr w:type="gramEnd"/>
            <w:r>
              <w:rPr>
                <w:color w:val="000000"/>
                <w:shd w:val="clear" w:color="auto" w:fill="D9E2F3"/>
              </w:rPr>
              <w:t>No</w:t>
            </w:r>
          </w:p>
          <w:p w14:paraId="1299AC88" w14:textId="77777777" w:rsidR="00BB62F4" w:rsidRDefault="00000000">
            <w:pPr>
              <w:pBdr>
                <w:top w:val="nil"/>
                <w:left w:val="nil"/>
                <w:bottom w:val="nil"/>
                <w:right w:val="nil"/>
                <w:between w:val="nil"/>
              </w:pBdr>
              <w:ind w:left="360"/>
              <w:rPr>
                <w:color w:val="000000"/>
              </w:rPr>
            </w:pPr>
            <w:r>
              <w:rPr>
                <w:color w:val="000000"/>
              </w:rPr>
              <w:t xml:space="preserve">If yes, was there an explanation for fast-tracking? </w:t>
            </w:r>
            <w:r>
              <w:rPr>
                <w:rFonts w:ascii="MS Gothic" w:eastAsia="MS Gothic" w:hAnsi="MS Gothic" w:cs="MS Gothic"/>
                <w:color w:val="000000"/>
              </w:rPr>
              <w:t>☐</w:t>
            </w:r>
            <w:r>
              <w:rPr>
                <w:color w:val="000000"/>
              </w:rPr>
              <w:t xml:space="preserve"> </w:t>
            </w:r>
            <w:proofErr w:type="gramStart"/>
            <w:r>
              <w:rPr>
                <w:color w:val="000000"/>
                <w:shd w:val="clear" w:color="auto" w:fill="D9E2F3"/>
              </w:rPr>
              <w:t xml:space="preserve">Yes </w:t>
            </w:r>
            <w:r>
              <w:rPr>
                <w:color w:val="000000"/>
              </w:rPr>
              <w:t xml:space="preserve"> </w:t>
            </w:r>
            <w:r>
              <w:rPr>
                <w:rFonts w:ascii="MS Gothic" w:eastAsia="MS Gothic" w:hAnsi="MS Gothic" w:cs="MS Gothic"/>
                <w:color w:val="000000"/>
              </w:rPr>
              <w:t>☐</w:t>
            </w:r>
            <w:proofErr w:type="gramEnd"/>
            <w:r>
              <w:rPr>
                <w:color w:val="000000"/>
                <w:shd w:val="clear" w:color="auto" w:fill="D9E2F3"/>
              </w:rPr>
              <w:t>No</w:t>
            </w:r>
          </w:p>
          <w:p w14:paraId="2C7CA989" w14:textId="77777777" w:rsidR="00BB62F4" w:rsidRDefault="00BB62F4">
            <w:pPr>
              <w:pBdr>
                <w:top w:val="nil"/>
                <w:left w:val="nil"/>
                <w:bottom w:val="nil"/>
                <w:right w:val="nil"/>
                <w:between w:val="nil"/>
              </w:pBdr>
              <w:ind w:left="360"/>
              <w:rPr>
                <w:color w:val="000000"/>
              </w:rPr>
            </w:pPr>
          </w:p>
          <w:p w14:paraId="4580B53A" w14:textId="77777777" w:rsidR="00BB62F4" w:rsidRDefault="00000000">
            <w:pPr>
              <w:pBdr>
                <w:top w:val="nil"/>
                <w:left w:val="nil"/>
                <w:bottom w:val="nil"/>
                <w:right w:val="nil"/>
                <w:between w:val="nil"/>
              </w:pBdr>
              <w:shd w:val="clear" w:color="auto" w:fill="FFFFFF"/>
              <w:ind w:left="360"/>
              <w:rPr>
                <w:i/>
                <w:iCs/>
                <w:color w:val="000000"/>
              </w:rPr>
            </w:pPr>
            <w:r>
              <w:rPr>
                <w:b/>
                <w:bCs/>
                <w:i/>
                <w:iCs/>
                <w:color w:val="000000"/>
              </w:rPr>
              <w:lastRenderedPageBreak/>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75B53E58"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4525B2B9" w14:textId="77777777" w:rsidR="00BB62F4" w:rsidRDefault="00000000">
            <w:pPr>
              <w:pBdr>
                <w:top w:val="nil"/>
                <w:left w:val="nil"/>
                <w:bottom w:val="nil"/>
                <w:right w:val="nil"/>
                <w:between w:val="nil"/>
              </w:pBdr>
              <w:ind w:left="375"/>
              <w:rPr>
                <w:color w:val="000000"/>
              </w:rPr>
            </w:pPr>
            <w:r>
              <w:rPr>
                <w:i/>
                <w:iCs/>
                <w:color w:val="000000"/>
              </w:rPr>
              <w:t xml:space="preserve">Other sources: </w:t>
            </w:r>
            <w:r>
              <w:rPr>
                <w:i/>
                <w:iCs/>
                <w:color w:val="000000"/>
                <w:shd w:val="clear" w:color="auto" w:fill="D9E2F3"/>
              </w:rPr>
              <w:t>EITI Report (year and page number), EITI website etc</w:t>
            </w:r>
          </w:p>
        </w:tc>
      </w:tr>
      <w:tr w:rsidR="00BB62F4" w14:paraId="56C2AFB0" w14:textId="77777777">
        <w:tc>
          <w:tcPr>
            <w:tcW w:w="1530" w:type="dxa"/>
            <w:tcBorders>
              <w:top w:val="single" w:sz="4" w:space="0" w:color="000000"/>
              <w:left w:val="nil"/>
              <w:bottom w:val="single" w:sz="4" w:space="0" w:color="000000"/>
              <w:right w:val="nil"/>
            </w:tcBorders>
          </w:tcPr>
          <w:p w14:paraId="6E1EEA52" w14:textId="77777777" w:rsidR="00BB62F4" w:rsidRDefault="00000000">
            <w:pPr>
              <w:rPr>
                <w:i/>
                <w:iCs/>
              </w:rPr>
            </w:pPr>
            <w:r>
              <w:rPr>
                <w:i/>
                <w:iCs/>
              </w:rPr>
              <w:lastRenderedPageBreak/>
              <w:t>Assessment on comprehensiveness, reliability and timeliness of information</w:t>
            </w:r>
          </w:p>
        </w:tc>
        <w:tc>
          <w:tcPr>
            <w:tcW w:w="6975" w:type="dxa"/>
            <w:tcBorders>
              <w:top w:val="single" w:sz="4" w:space="0" w:color="000000"/>
              <w:left w:val="nil"/>
              <w:bottom w:val="single" w:sz="4" w:space="0" w:color="000000"/>
              <w:right w:val="nil"/>
            </w:tcBorders>
          </w:tcPr>
          <w:p w14:paraId="33102B06" w14:textId="77777777" w:rsidR="00BB62F4" w:rsidRDefault="00000000">
            <w:pPr>
              <w:rPr>
                <w:b/>
                <w:bCs/>
              </w:rPr>
            </w:pPr>
            <w:r>
              <w:rPr>
                <w:b/>
                <w:bCs/>
              </w:rPr>
              <w:t xml:space="preserve">Do you or any stakeholder (including, but not limited to MSG members) have concerns regarding the method used for awarding the licenses, or any specific license? </w:t>
            </w:r>
            <w:r>
              <w:rPr>
                <w:b/>
                <w:bCs/>
              </w:rPr>
              <w:br/>
            </w:r>
            <w:r>
              <w:rPr>
                <w:b/>
                <w:bCs/>
              </w:rPr>
              <w:br/>
              <w:t xml:space="preserve"> </w:t>
            </w:r>
            <w:r>
              <w:rPr>
                <w:rFonts w:ascii="MS Gothic" w:eastAsia="MS Gothic" w:hAnsi="MS Gothic" w:cs="MS Gothic"/>
              </w:rPr>
              <w:t>☒</w:t>
            </w:r>
            <w:r>
              <w:t xml:space="preserve"> </w:t>
            </w:r>
            <w:proofErr w:type="gramStart"/>
            <w:r>
              <w:rPr>
                <w:shd w:val="clear" w:color="auto" w:fill="D9E2F3"/>
              </w:rPr>
              <w:t xml:space="preserve">Yes </w:t>
            </w:r>
            <w:r>
              <w:t xml:space="preserve"> </w:t>
            </w:r>
            <w:r>
              <w:rPr>
                <w:rFonts w:ascii="MS Gothic" w:eastAsia="MS Gothic" w:hAnsi="MS Gothic" w:cs="MS Gothic"/>
              </w:rPr>
              <w:t>☐</w:t>
            </w:r>
            <w:proofErr w:type="gramEnd"/>
            <w:r>
              <w:rPr>
                <w:shd w:val="clear" w:color="auto" w:fill="D9E2F3"/>
              </w:rPr>
              <w:t>No</w:t>
            </w:r>
          </w:p>
          <w:p w14:paraId="0E4F59ED" w14:textId="77777777" w:rsidR="00BB62F4" w:rsidRDefault="00000000">
            <w:pPr>
              <w:pBdr>
                <w:top w:val="nil"/>
                <w:left w:val="nil"/>
                <w:bottom w:val="nil"/>
                <w:right w:val="nil"/>
                <w:between w:val="nil"/>
              </w:pBdr>
              <w:ind w:left="85"/>
              <w:rPr>
                <w:rFonts w:ascii="Times New Roman" w:eastAsia="Times New Roman" w:hAnsi="Times New Roman" w:cs="Times New Roman"/>
                <w:i/>
                <w:iCs/>
                <w:color w:val="000000"/>
                <w:sz w:val="24"/>
                <w:szCs w:val="24"/>
                <w:shd w:val="clear" w:color="auto" w:fill="D9E2F3"/>
              </w:rPr>
            </w:pPr>
            <w:r>
              <w:rPr>
                <w:rFonts w:ascii="Times New Roman" w:eastAsia="Times New Roman" w:hAnsi="Times New Roman" w:cs="Times New Roman"/>
                <w:color w:val="000000"/>
                <w:sz w:val="24"/>
                <w:szCs w:val="24"/>
              </w:rPr>
              <w:t xml:space="preserve">If </w:t>
            </w:r>
            <w:r>
              <w:rPr>
                <w:rFonts w:ascii="Times New Roman" w:eastAsia="Times New Roman" w:hAnsi="Times New Roman" w:cs="Times New Roman"/>
                <w:color w:val="000000"/>
                <w:sz w:val="24"/>
                <w:szCs w:val="24"/>
                <w:u w:val="single"/>
              </w:rPr>
              <w:t>yes,</w:t>
            </w:r>
            <w:r>
              <w:rPr>
                <w:rFonts w:ascii="Times New Roman" w:eastAsia="Times New Roman" w:hAnsi="Times New Roman" w:cs="Times New Roman"/>
                <w:color w:val="000000"/>
                <w:sz w:val="24"/>
                <w:szCs w:val="24"/>
              </w:rPr>
              <w:t xml:space="preserve"> please elaborate:</w:t>
            </w:r>
            <w:r>
              <w:rPr>
                <w:rFonts w:ascii="Times New Roman" w:eastAsia="Times New Roman" w:hAnsi="Times New Roman" w:cs="Times New Roman"/>
                <w:color w:val="000000"/>
                <w:sz w:val="24"/>
                <w:szCs w:val="24"/>
                <w:shd w:val="clear" w:color="auto" w:fill="D9E2F3"/>
              </w:rPr>
              <w:t xml:space="preserve"> </w:t>
            </w:r>
            <w:r>
              <w:rPr>
                <w:rFonts w:ascii="Times New Roman" w:eastAsia="Times New Roman" w:hAnsi="Times New Roman" w:cs="Times New Roman"/>
                <w:i/>
                <w:iCs/>
                <w:color w:val="000000"/>
                <w:sz w:val="24"/>
                <w:szCs w:val="24"/>
                <w:shd w:val="clear" w:color="auto" w:fill="D9E2F3"/>
              </w:rPr>
              <w:t>For example, the fast-tracked method was used for commodities that do not fall under the category for fast-tracked license grant</w:t>
            </w:r>
          </w:p>
          <w:p w14:paraId="15399D49" w14:textId="77777777" w:rsidR="00BB62F4" w:rsidRDefault="00000000">
            <w:pPr>
              <w:pBdr>
                <w:top w:val="nil"/>
                <w:left w:val="nil"/>
                <w:bottom w:val="nil"/>
                <w:right w:val="nil"/>
                <w:between w:val="nil"/>
              </w:pBdr>
              <w:ind w:left="85"/>
              <w:rPr>
                <w:rFonts w:ascii="Times New Roman" w:eastAsia="Times New Roman" w:hAnsi="Times New Roman" w:cs="Times New Roman"/>
                <w:color w:val="000000"/>
                <w:sz w:val="24"/>
                <w:szCs w:val="24"/>
              </w:rPr>
            </w:pPr>
            <w:r>
              <w:rPr>
                <w:rFonts w:ascii="EB Garamond" w:eastAsia="EB Garamond" w:hAnsi="EB Garamond" w:cs="EB Garamond"/>
                <w:color w:val="000000"/>
                <w:sz w:val="24"/>
                <w:szCs w:val="24"/>
              </w:rPr>
              <w:t xml:space="preserve"> </w:t>
            </w:r>
            <w:r>
              <w:rPr>
                <w:rFonts w:ascii="EB Garamond" w:eastAsia="EB Garamond" w:hAnsi="EB Garamond" w:cs="EB Garamond"/>
                <w:color w:val="000000"/>
              </w:rPr>
              <w:t>Despite acknowledging some regulatory progress, the NSWG and other stakeholders have expressed specific concerns regarding the transparency and implementation of the license awards process;</w:t>
            </w:r>
          </w:p>
          <w:p w14:paraId="5E53B83C" w14:textId="77777777" w:rsidR="00BB62F4" w:rsidRDefault="00000000">
            <w:pPr>
              <w:numPr>
                <w:ilvl w:val="0"/>
                <w:numId w:val="28"/>
              </w:numPr>
              <w:ind w:left="805"/>
              <w:rPr>
                <w:rFonts w:ascii="EB Garamond" w:eastAsia="EB Garamond" w:hAnsi="EB Garamond" w:cs="EB Garamond"/>
                <w:color w:val="000000"/>
              </w:rPr>
            </w:pPr>
            <w:r>
              <w:rPr>
                <w:rFonts w:ascii="EB Garamond" w:eastAsia="EB Garamond" w:hAnsi="EB Garamond" w:cs="EB Garamond"/>
                <w:color w:val="000000"/>
              </w:rPr>
              <w:t xml:space="preserve">NEITI applaud NUPRC for improvement in the 2024 licensing round with some concerns raised. The report flags </w:t>
            </w:r>
            <w:proofErr w:type="gramStart"/>
            <w:r>
              <w:rPr>
                <w:rFonts w:ascii="EB Garamond" w:eastAsia="EB Garamond" w:hAnsi="EB Garamond" w:cs="EB Garamond"/>
                <w:color w:val="000000"/>
              </w:rPr>
              <w:t>needs</w:t>
            </w:r>
            <w:proofErr w:type="gramEnd"/>
            <w:r>
              <w:rPr>
                <w:rFonts w:ascii="EB Garamond" w:eastAsia="EB Garamond" w:hAnsi="EB Garamond" w:cs="EB Garamond"/>
                <w:color w:val="000000"/>
              </w:rPr>
              <w:t xml:space="preserve"> to strengthen evaluation metrics, enhance result disclosures, improve bidder information access, ensure beneficial ownership transparency, and integrate technical-commercial assurances. It recommends standardized scoring, consistent stakeholder engagement, and fuller public disclosures for future rounds. See </w:t>
            </w:r>
            <w:proofErr w:type="gramStart"/>
            <w:r>
              <w:rPr>
                <w:rFonts w:ascii="EB Garamond" w:eastAsia="EB Garamond" w:hAnsi="EB Garamond" w:cs="EB Garamond"/>
                <w:color w:val="000000"/>
              </w:rPr>
              <w:t>details  at</w:t>
            </w:r>
            <w:proofErr w:type="gramEnd"/>
            <w:r>
              <w:rPr>
                <w:rFonts w:ascii="EB Garamond" w:eastAsia="EB Garamond" w:hAnsi="EB Garamond" w:cs="EB Garamond"/>
                <w:color w:val="000000"/>
              </w:rPr>
              <w:t xml:space="preserve"> </w:t>
            </w:r>
            <w:hyperlink r:id="rId96">
              <w:r>
                <w:rPr>
                  <w:rFonts w:ascii="EB Garamond" w:eastAsia="EB Garamond" w:hAnsi="EB Garamond" w:cs="EB Garamond"/>
                  <w:color w:val="1155CC"/>
                  <w:highlight w:val="red"/>
                  <w:u w:val="single"/>
                </w:rPr>
                <w:t>2022-2024 mini bid &amp; licensing round conducted by the Nigerian upstream petroleum regulatory commission</w:t>
              </w:r>
            </w:hyperlink>
            <w:r>
              <w:rPr>
                <w:rFonts w:ascii="EB Garamond" w:eastAsia="EB Garamond" w:hAnsi="EB Garamond" w:cs="EB Garamond"/>
                <w:color w:val="000000"/>
                <w:highlight w:val="red"/>
              </w:rPr>
              <w:t>.</w:t>
            </w:r>
          </w:p>
          <w:p w14:paraId="4CCFB0E9" w14:textId="77777777" w:rsidR="00BB62F4" w:rsidRDefault="00000000">
            <w:pPr>
              <w:pBdr>
                <w:top w:val="nil"/>
                <w:left w:val="nil"/>
                <w:bottom w:val="nil"/>
                <w:right w:val="nil"/>
                <w:between w:val="nil"/>
              </w:pBdr>
              <w:ind w:left="85"/>
              <w:rPr>
                <w:i/>
                <w:iCs/>
                <w:color w:val="000000"/>
              </w:rPr>
            </w:pPr>
            <w:r>
              <w:rPr>
                <w:i/>
                <w:iCs/>
                <w:color w:val="000000"/>
                <w:shd w:val="clear" w:color="auto" w:fill="D9E2F3"/>
              </w:rPr>
              <w:t xml:space="preserve"> </w:t>
            </w:r>
            <w:r>
              <w:rPr>
                <w:i/>
                <w:iCs/>
                <w:color w:val="000000"/>
                <w:shd w:val="clear" w:color="auto" w:fill="D9E2F3"/>
              </w:rPr>
              <w:br/>
            </w:r>
          </w:p>
        </w:tc>
      </w:tr>
      <w:tr w:rsidR="00BB62F4" w14:paraId="641B950B" w14:textId="77777777">
        <w:tc>
          <w:tcPr>
            <w:tcW w:w="1530" w:type="dxa"/>
            <w:tcBorders>
              <w:top w:val="single" w:sz="4" w:space="0" w:color="000000"/>
              <w:left w:val="nil"/>
              <w:bottom w:val="single" w:sz="4" w:space="0" w:color="000000"/>
              <w:right w:val="nil"/>
            </w:tcBorders>
            <w:shd w:val="clear" w:color="auto" w:fill="B4C6E7"/>
          </w:tcPr>
          <w:p w14:paraId="05DAD300" w14:textId="77777777" w:rsidR="00BB62F4" w:rsidRDefault="00000000">
            <w:pPr>
              <w:rPr>
                <w:i/>
                <w:iCs/>
              </w:rPr>
            </w:pPr>
            <w:r>
              <w:rPr>
                <w:b/>
                <w:bCs/>
              </w:rPr>
              <w:t xml:space="preserve">Encouraged </w:t>
            </w:r>
          </w:p>
        </w:tc>
        <w:tc>
          <w:tcPr>
            <w:tcW w:w="6975" w:type="dxa"/>
            <w:tcBorders>
              <w:top w:val="single" w:sz="4" w:space="0" w:color="000000"/>
              <w:left w:val="nil"/>
              <w:bottom w:val="single" w:sz="4" w:space="0" w:color="000000"/>
              <w:right w:val="nil"/>
            </w:tcBorders>
            <w:shd w:val="clear" w:color="auto" w:fill="B4C6E7"/>
          </w:tcPr>
          <w:p w14:paraId="36DD553B" w14:textId="77777777" w:rsidR="00BB62F4" w:rsidRDefault="00000000">
            <w:r>
              <w:rPr>
                <w:b/>
                <w:bCs/>
              </w:rPr>
              <w:t>2.2.b – Licenses allocated prior to period covered by EITI implementation</w:t>
            </w:r>
          </w:p>
        </w:tc>
      </w:tr>
      <w:tr w:rsidR="00BB62F4" w14:paraId="2C5F392F" w14:textId="77777777">
        <w:tc>
          <w:tcPr>
            <w:tcW w:w="1530" w:type="dxa"/>
            <w:tcBorders>
              <w:top w:val="single" w:sz="4" w:space="0" w:color="000000"/>
              <w:left w:val="nil"/>
              <w:bottom w:val="nil"/>
              <w:right w:val="nil"/>
            </w:tcBorders>
          </w:tcPr>
          <w:p w14:paraId="1131B452" w14:textId="77777777" w:rsidR="00BB62F4" w:rsidRDefault="00000000">
            <w:pPr>
              <w:rPr>
                <w:i/>
                <w:iCs/>
              </w:rPr>
            </w:pPr>
            <w:r>
              <w:rPr>
                <w:i/>
                <w:iCs/>
              </w:rPr>
              <w:t>Availability</w:t>
            </w:r>
          </w:p>
        </w:tc>
        <w:tc>
          <w:tcPr>
            <w:tcW w:w="6975" w:type="dxa"/>
            <w:tcBorders>
              <w:top w:val="single" w:sz="4" w:space="0" w:color="000000"/>
              <w:left w:val="nil"/>
              <w:bottom w:val="nil"/>
              <w:right w:val="nil"/>
            </w:tcBorders>
          </w:tcPr>
          <w:p w14:paraId="3ADF61CA" w14:textId="77777777" w:rsidR="00BB62F4" w:rsidRDefault="00000000">
            <w:pPr>
              <w:rPr>
                <w:shd w:val="clear" w:color="auto" w:fill="D9E2F3"/>
              </w:rPr>
            </w:pPr>
            <w:r>
              <w:t>Does your country publish historical information on the process of license and contract award and transfer, as well as the identity of all companies who have received a license or contract, for the period prior to what is covered in this form?</w:t>
            </w:r>
            <w:r>
              <w:br/>
            </w:r>
            <w:r>
              <w:br/>
            </w:r>
            <w:r>
              <w:rPr>
                <w:rFonts w:ascii="MS Gothic" w:eastAsia="MS Gothic" w:hAnsi="MS Gothic" w:cs="MS Gothic"/>
              </w:rPr>
              <w:t>☒</w:t>
            </w:r>
            <w:r>
              <w:t xml:space="preserve"> </w:t>
            </w:r>
            <w:proofErr w:type="gramStart"/>
            <w:r>
              <w:rPr>
                <w:shd w:val="clear" w:color="auto" w:fill="D9E2F3"/>
              </w:rPr>
              <w:t xml:space="preserve">Yes </w:t>
            </w:r>
            <w:r>
              <w:t xml:space="preserve"> </w:t>
            </w:r>
            <w:r>
              <w:rPr>
                <w:rFonts w:ascii="MS Gothic" w:eastAsia="MS Gothic" w:hAnsi="MS Gothic" w:cs="MS Gothic"/>
              </w:rPr>
              <w:t>☐</w:t>
            </w:r>
            <w:proofErr w:type="gramEnd"/>
            <w:r>
              <w:rPr>
                <w:shd w:val="clear" w:color="auto" w:fill="D9E2F3"/>
              </w:rPr>
              <w:t>No</w:t>
            </w:r>
          </w:p>
          <w:p w14:paraId="26B75E79" w14:textId="77777777" w:rsidR="00BB62F4" w:rsidRDefault="00000000">
            <w:pPr>
              <w:pBdr>
                <w:top w:val="nil"/>
                <w:left w:val="nil"/>
                <w:bottom w:val="nil"/>
                <w:right w:val="nil"/>
                <w:between w:val="nil"/>
              </w:pBdr>
              <w:shd w:val="clear" w:color="auto" w:fill="FFFFFF"/>
              <w:rPr>
                <w:i/>
                <w:iCs/>
                <w:color w:val="0000FF"/>
                <w:u w:val="single"/>
                <w:shd w:val="clear" w:color="auto" w:fill="D9E2F3"/>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63B0047F" w14:textId="77777777" w:rsidR="00BB62F4" w:rsidRDefault="00000000">
            <w:pPr>
              <w:numPr>
                <w:ilvl w:val="0"/>
                <w:numId w:val="29"/>
              </w:numPr>
              <w:pBdr>
                <w:top w:val="nil"/>
                <w:left w:val="nil"/>
                <w:bottom w:val="nil"/>
                <w:right w:val="nil"/>
                <w:between w:val="nil"/>
              </w:pBdr>
              <w:shd w:val="clear" w:color="auto" w:fill="FFFFFF"/>
              <w:rPr>
                <w:i/>
                <w:iCs/>
                <w:color w:val="000000"/>
              </w:rPr>
            </w:pPr>
            <w:hyperlink r:id="rId97">
              <w:r>
                <w:rPr>
                  <w:i/>
                  <w:iCs/>
                  <w:color w:val="0000FF"/>
                  <w:u w:val="single"/>
                </w:rPr>
                <w:t>https://www.nuprc.gov.ng/licenses/</w:t>
              </w:r>
            </w:hyperlink>
          </w:p>
          <w:p w14:paraId="72A97358" w14:textId="77777777" w:rsidR="00BB62F4" w:rsidRDefault="00000000">
            <w:pPr>
              <w:numPr>
                <w:ilvl w:val="0"/>
                <w:numId w:val="29"/>
              </w:numPr>
              <w:pBdr>
                <w:top w:val="nil"/>
                <w:left w:val="nil"/>
                <w:bottom w:val="nil"/>
                <w:right w:val="nil"/>
                <w:between w:val="nil"/>
              </w:pBdr>
              <w:shd w:val="clear" w:color="auto" w:fill="FFFFFF"/>
              <w:rPr>
                <w:i/>
                <w:iCs/>
                <w:color w:val="000000"/>
              </w:rPr>
            </w:pPr>
            <w:hyperlink r:id="rId98">
              <w:r>
                <w:rPr>
                  <w:i/>
                  <w:iCs/>
                  <w:color w:val="0000FF"/>
                  <w:u w:val="single"/>
                </w:rPr>
                <w:t>https://www.nuprc.gov.ng/concession/</w:t>
              </w:r>
            </w:hyperlink>
          </w:p>
          <w:p w14:paraId="69BAF6CB" w14:textId="77777777" w:rsidR="00BB62F4" w:rsidRDefault="00BB62F4">
            <w:pPr>
              <w:pBdr>
                <w:top w:val="nil"/>
                <w:left w:val="nil"/>
                <w:bottom w:val="nil"/>
                <w:right w:val="nil"/>
                <w:between w:val="nil"/>
              </w:pBdr>
              <w:shd w:val="clear" w:color="auto" w:fill="FFFFFF"/>
              <w:ind w:left="720"/>
              <w:rPr>
                <w:i/>
                <w:iCs/>
                <w:color w:val="000000"/>
              </w:rPr>
            </w:pPr>
          </w:p>
          <w:p w14:paraId="449AC574" w14:textId="77777777" w:rsidR="00BB62F4" w:rsidRDefault="00000000">
            <w:pPr>
              <w:pBdr>
                <w:top w:val="nil"/>
                <w:left w:val="nil"/>
                <w:bottom w:val="nil"/>
                <w:right w:val="nil"/>
                <w:between w:val="nil"/>
              </w:pBdr>
              <w:shd w:val="clear" w:color="auto" w:fill="FFFFFF"/>
              <w:rPr>
                <w:i/>
                <w:iCs/>
                <w:color w:val="000000"/>
              </w:rPr>
            </w:pPr>
            <w:r>
              <w:rPr>
                <w:i/>
                <w:iCs/>
                <w:color w:val="000000"/>
              </w:rPr>
              <w:t>AND / OR</w:t>
            </w:r>
          </w:p>
          <w:p w14:paraId="0095C8B7" w14:textId="77777777" w:rsidR="00BB62F4" w:rsidRDefault="00000000">
            <w:pPr>
              <w:pBdr>
                <w:top w:val="nil"/>
                <w:left w:val="nil"/>
                <w:bottom w:val="nil"/>
                <w:right w:val="nil"/>
                <w:between w:val="nil"/>
              </w:pBdr>
              <w:shd w:val="clear" w:color="auto" w:fill="FFFFFF"/>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0D41B23B" w14:textId="77777777" w:rsidR="00BB62F4" w:rsidRDefault="00000000">
            <w:pPr>
              <w:numPr>
                <w:ilvl w:val="0"/>
                <w:numId w:val="30"/>
              </w:numPr>
              <w:pBdr>
                <w:top w:val="nil"/>
                <w:left w:val="nil"/>
                <w:bottom w:val="nil"/>
                <w:right w:val="nil"/>
                <w:between w:val="nil"/>
              </w:pBdr>
              <w:shd w:val="clear" w:color="auto" w:fill="FFFFFF"/>
              <w:rPr>
                <w:color w:val="000000"/>
              </w:rPr>
            </w:pPr>
            <w:hyperlink r:id="rId99">
              <w:r>
                <w:rPr>
                  <w:color w:val="0000FF"/>
                  <w:u w:val="single"/>
                </w:rPr>
                <w:t>NEITI_OGA_2023_Report</w:t>
              </w:r>
            </w:hyperlink>
          </w:p>
        </w:tc>
      </w:tr>
      <w:tr w:rsidR="00BB62F4" w14:paraId="78A0A5E3" w14:textId="77777777">
        <w:tc>
          <w:tcPr>
            <w:tcW w:w="1530" w:type="dxa"/>
            <w:tcBorders>
              <w:top w:val="single" w:sz="4" w:space="0" w:color="000000"/>
              <w:left w:val="nil"/>
              <w:bottom w:val="single" w:sz="4" w:space="0" w:color="000000"/>
              <w:right w:val="nil"/>
            </w:tcBorders>
            <w:shd w:val="clear" w:color="auto" w:fill="B4C6E7"/>
          </w:tcPr>
          <w:p w14:paraId="5C218472" w14:textId="77777777" w:rsidR="00BB62F4" w:rsidRDefault="00000000">
            <w:pPr>
              <w:rPr>
                <w:i/>
                <w:iCs/>
              </w:rPr>
            </w:pPr>
            <w:r>
              <w:rPr>
                <w:b/>
                <w:bCs/>
              </w:rPr>
              <w:t>Encouraged</w:t>
            </w:r>
          </w:p>
        </w:tc>
        <w:tc>
          <w:tcPr>
            <w:tcW w:w="6975" w:type="dxa"/>
            <w:tcBorders>
              <w:top w:val="single" w:sz="4" w:space="0" w:color="000000"/>
              <w:left w:val="nil"/>
              <w:bottom w:val="single" w:sz="4" w:space="0" w:color="000000"/>
              <w:right w:val="nil"/>
            </w:tcBorders>
            <w:shd w:val="clear" w:color="auto" w:fill="B4C6E7"/>
          </w:tcPr>
          <w:p w14:paraId="0CE2ECBC" w14:textId="77777777" w:rsidR="00BB62F4" w:rsidRDefault="00000000">
            <w:r>
              <w:rPr>
                <w:b/>
                <w:bCs/>
              </w:rPr>
              <w:t xml:space="preserve">2.2.d – Additional information on the allocation of licenses </w:t>
            </w:r>
          </w:p>
        </w:tc>
      </w:tr>
      <w:tr w:rsidR="00BB62F4" w14:paraId="600FF60F" w14:textId="77777777">
        <w:tc>
          <w:tcPr>
            <w:tcW w:w="1530" w:type="dxa"/>
            <w:tcBorders>
              <w:top w:val="single" w:sz="4" w:space="0" w:color="000000"/>
              <w:left w:val="nil"/>
              <w:bottom w:val="nil"/>
              <w:right w:val="nil"/>
            </w:tcBorders>
          </w:tcPr>
          <w:p w14:paraId="4608DB24" w14:textId="77777777" w:rsidR="00BB62F4" w:rsidRDefault="00BB62F4">
            <w:pPr>
              <w:rPr>
                <w:i/>
                <w:iCs/>
              </w:rPr>
            </w:pPr>
          </w:p>
        </w:tc>
        <w:tc>
          <w:tcPr>
            <w:tcW w:w="6975" w:type="dxa"/>
            <w:tcBorders>
              <w:top w:val="single" w:sz="4" w:space="0" w:color="000000"/>
              <w:left w:val="nil"/>
              <w:bottom w:val="single" w:sz="4" w:space="0" w:color="000000"/>
              <w:right w:val="nil"/>
            </w:tcBorders>
          </w:tcPr>
          <w:p w14:paraId="5CCBE0A6" w14:textId="77777777" w:rsidR="00BB62F4" w:rsidRDefault="00000000">
            <w:r>
              <w:t xml:space="preserve">Is there additional information on the allocation of license(s) as part of the EITI disclosures including? If yes, please indicate the place where this information can be found: </w:t>
            </w:r>
          </w:p>
          <w:p w14:paraId="147621B7" w14:textId="77777777" w:rsidR="00BB62F4" w:rsidRDefault="00000000">
            <w:pPr>
              <w:pBdr>
                <w:top w:val="nil"/>
                <w:left w:val="nil"/>
                <w:bottom w:val="nil"/>
                <w:right w:val="nil"/>
                <w:between w:val="nil"/>
              </w:pBdr>
              <w:rPr>
                <w:i/>
                <w:iCs/>
                <w:color w:val="000000"/>
              </w:rPr>
            </w:pPr>
            <w:r>
              <w:rPr>
                <w:color w:val="000000"/>
              </w:rPr>
              <w:t xml:space="preserve">Commentary on the efficiency and effectives of license procedures </w:t>
            </w:r>
          </w:p>
          <w:p w14:paraId="12F8220E" w14:textId="77777777" w:rsidR="00BB62F4" w:rsidRDefault="00000000">
            <w:pPr>
              <w:pBdr>
                <w:top w:val="nil"/>
                <w:left w:val="nil"/>
                <w:bottom w:val="nil"/>
                <w:right w:val="nil"/>
                <w:between w:val="nil"/>
              </w:pBdr>
              <w:ind w:left="360"/>
              <w:rPr>
                <w:color w:val="000000"/>
                <w:shd w:val="clear" w:color="auto" w:fill="D9E2F3"/>
              </w:rPr>
            </w:pPr>
            <w:r>
              <w:rPr>
                <w:rFonts w:ascii="MS Gothic" w:eastAsia="MS Gothic" w:hAnsi="MS Gothic" w:cs="MS Gothic"/>
                <w:color w:val="000000"/>
              </w:rPr>
              <w:t>☒</w:t>
            </w:r>
            <w:r>
              <w:rPr>
                <w:color w:val="000000"/>
              </w:rPr>
              <w:t xml:space="preserve"> </w:t>
            </w:r>
            <w:r>
              <w:rPr>
                <w:color w:val="000000"/>
                <w:shd w:val="clear" w:color="auto" w:fill="D9E2F3"/>
              </w:rPr>
              <w:t xml:space="preserve">Yes </w:t>
            </w:r>
            <w:r>
              <w:rPr>
                <w:color w:val="000000"/>
              </w:rPr>
              <w:t xml:space="preserve">  </w:t>
            </w:r>
            <w:r>
              <w:rPr>
                <w:rFonts w:ascii="MS Gothic" w:eastAsia="MS Gothic" w:hAnsi="MS Gothic" w:cs="MS Gothic"/>
                <w:color w:val="000000"/>
              </w:rPr>
              <w:t>☐</w:t>
            </w:r>
            <w:r>
              <w:rPr>
                <w:color w:val="000000"/>
                <w:shd w:val="clear" w:color="auto" w:fill="D9E2F3"/>
              </w:rPr>
              <w:t>No</w:t>
            </w:r>
          </w:p>
          <w:p w14:paraId="543F2BE1" w14:textId="77777777" w:rsidR="00BB62F4" w:rsidRDefault="00000000">
            <w:pPr>
              <w:pBdr>
                <w:top w:val="nil"/>
                <w:left w:val="nil"/>
                <w:bottom w:val="nil"/>
                <w:right w:val="nil"/>
                <w:between w:val="nil"/>
              </w:pBdr>
              <w:shd w:val="clear" w:color="auto" w:fill="FFFFFF"/>
              <w:ind w:left="360"/>
              <w:rPr>
                <w:i/>
                <w:iCs/>
                <w:color w:val="0000FF"/>
                <w:u w:val="single"/>
                <w:shd w:val="clear" w:color="auto" w:fill="D9E2F3"/>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16834ACE" w14:textId="7A6A4D89" w:rsidR="00BB62F4" w:rsidRDefault="00000000">
            <w:pPr>
              <w:shd w:val="clear" w:color="auto" w:fill="FFFFFF"/>
              <w:ind w:left="360"/>
              <w:rPr>
                <w:rFonts w:ascii="Times New Roman" w:eastAsia="Times New Roman" w:hAnsi="Times New Roman" w:cs="Times New Roman"/>
                <w:sz w:val="24"/>
                <w:szCs w:val="24"/>
              </w:rPr>
            </w:pPr>
            <w:r>
              <w:rPr>
                <w:rFonts w:ascii="EB Garamond" w:eastAsia="EB Garamond" w:hAnsi="EB Garamond" w:cs="EB Garamond"/>
                <w:color w:val="000000"/>
              </w:rPr>
              <w:t xml:space="preserve">The Nigerian Upstream Petroleum Regulatory Commission (NUPRC) and the Nigeria Extractive Industry Transparency Initiative (NEITI) are collaborating to enhance contract transparency and disclosure in the oil and gas sector. This partnership aims to increase the publication of signed contracts on the </w:t>
            </w:r>
            <w:hyperlink r:id="rId100">
              <w:r>
                <w:rPr>
                  <w:rFonts w:ascii="EB Garamond" w:eastAsia="EB Garamond" w:hAnsi="EB Garamond" w:cs="EB Garamond"/>
                  <w:color w:val="0000FF"/>
                  <w:u w:val="single"/>
                </w:rPr>
                <w:t>NU</w:t>
              </w:r>
              <w:r>
                <w:rPr>
                  <w:rFonts w:ascii="EB Garamond" w:eastAsia="EB Garamond" w:hAnsi="EB Garamond" w:cs="EB Garamond"/>
                  <w:color w:val="0000FF"/>
                  <w:u w:val="single"/>
                </w:rPr>
                <w:t>P</w:t>
              </w:r>
              <w:r>
                <w:rPr>
                  <w:rFonts w:ascii="EB Garamond" w:eastAsia="EB Garamond" w:hAnsi="EB Garamond" w:cs="EB Garamond"/>
                  <w:color w:val="0000FF"/>
                  <w:u w:val="single"/>
                </w:rPr>
                <w:t>RC</w:t>
              </w:r>
            </w:hyperlink>
          </w:p>
          <w:p w14:paraId="45D9822C" w14:textId="77777777" w:rsidR="00BB62F4" w:rsidRDefault="00BB62F4">
            <w:pPr>
              <w:pBdr>
                <w:top w:val="nil"/>
                <w:left w:val="nil"/>
                <w:bottom w:val="nil"/>
                <w:right w:val="nil"/>
                <w:between w:val="nil"/>
              </w:pBdr>
              <w:shd w:val="clear" w:color="auto" w:fill="FFFFFF"/>
              <w:ind w:left="360"/>
              <w:rPr>
                <w:color w:val="000000"/>
              </w:rPr>
            </w:pPr>
          </w:p>
          <w:p w14:paraId="4463BACF" w14:textId="77777777" w:rsidR="00BB62F4" w:rsidRDefault="00000000">
            <w:pPr>
              <w:pBdr>
                <w:top w:val="nil"/>
                <w:left w:val="nil"/>
                <w:bottom w:val="nil"/>
                <w:right w:val="nil"/>
                <w:between w:val="nil"/>
              </w:pBdr>
              <w:shd w:val="clear" w:color="auto" w:fill="FFFFFF"/>
              <w:ind w:left="360"/>
              <w:rPr>
                <w:i/>
                <w:iCs/>
                <w:color w:val="000000"/>
              </w:rPr>
            </w:pPr>
            <w:r>
              <w:rPr>
                <w:i/>
                <w:iCs/>
                <w:color w:val="000000"/>
              </w:rPr>
              <w:t>AND / OR</w:t>
            </w:r>
          </w:p>
          <w:p w14:paraId="41027576" w14:textId="77777777" w:rsidR="00BB62F4" w:rsidRDefault="00000000">
            <w:pPr>
              <w:pBdr>
                <w:top w:val="nil"/>
                <w:left w:val="nil"/>
                <w:bottom w:val="nil"/>
                <w:right w:val="nil"/>
                <w:between w:val="nil"/>
              </w:pBdr>
              <w:shd w:val="clear" w:color="auto" w:fill="FFFFFF"/>
              <w:ind w:left="360"/>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1660F6AD" w14:textId="77777777" w:rsidR="00BB62F4" w:rsidRDefault="00BB62F4">
            <w:pPr>
              <w:pBdr>
                <w:top w:val="nil"/>
                <w:left w:val="nil"/>
                <w:bottom w:val="nil"/>
                <w:right w:val="nil"/>
                <w:between w:val="nil"/>
              </w:pBdr>
              <w:ind w:left="360"/>
              <w:rPr>
                <w:i/>
                <w:iCs/>
                <w:color w:val="000000"/>
              </w:rPr>
            </w:pPr>
          </w:p>
          <w:p w14:paraId="20E41747" w14:textId="77777777" w:rsidR="00BB62F4" w:rsidRDefault="00000000">
            <w:pPr>
              <w:pBdr>
                <w:top w:val="nil"/>
                <w:left w:val="nil"/>
                <w:bottom w:val="nil"/>
                <w:right w:val="nil"/>
                <w:between w:val="nil"/>
              </w:pBdr>
              <w:rPr>
                <w:i/>
                <w:iCs/>
                <w:color w:val="000000"/>
              </w:rPr>
            </w:pPr>
            <w:r>
              <w:rPr>
                <w:color w:val="000000"/>
              </w:rPr>
              <w:t xml:space="preserve">A description of procedures for renewing, suspending, or revoking contracts or licenses </w:t>
            </w:r>
          </w:p>
          <w:p w14:paraId="695DBCC2" w14:textId="77777777" w:rsidR="00BB62F4" w:rsidRDefault="00000000">
            <w:pPr>
              <w:pBdr>
                <w:top w:val="nil"/>
                <w:left w:val="nil"/>
                <w:bottom w:val="nil"/>
                <w:right w:val="nil"/>
                <w:between w:val="nil"/>
              </w:pBdr>
              <w:ind w:left="360"/>
              <w:rPr>
                <w:color w:val="000000"/>
                <w:shd w:val="clear" w:color="auto" w:fill="D9E2F3"/>
              </w:rPr>
            </w:pPr>
            <w:r>
              <w:rPr>
                <w:rFonts w:ascii="MS Gothic" w:eastAsia="MS Gothic" w:hAnsi="MS Gothic" w:cs="MS Gothic"/>
                <w:color w:val="000000"/>
              </w:rPr>
              <w:t>☒</w:t>
            </w:r>
            <w:r>
              <w:rPr>
                <w:color w:val="000000"/>
              </w:rPr>
              <w:t xml:space="preserve"> </w:t>
            </w:r>
            <w:r>
              <w:rPr>
                <w:color w:val="000000"/>
                <w:shd w:val="clear" w:color="auto" w:fill="D9E2F3"/>
              </w:rPr>
              <w:t xml:space="preserve">Yes </w:t>
            </w:r>
            <w:r>
              <w:rPr>
                <w:color w:val="000000"/>
              </w:rPr>
              <w:t xml:space="preserve">  </w:t>
            </w:r>
            <w:r>
              <w:rPr>
                <w:rFonts w:ascii="MS Gothic" w:eastAsia="MS Gothic" w:hAnsi="MS Gothic" w:cs="MS Gothic"/>
                <w:color w:val="000000"/>
              </w:rPr>
              <w:t>☐</w:t>
            </w:r>
            <w:r>
              <w:rPr>
                <w:color w:val="000000"/>
                <w:shd w:val="clear" w:color="auto" w:fill="D9E2F3"/>
              </w:rPr>
              <w:t>No</w:t>
            </w:r>
          </w:p>
          <w:p w14:paraId="4C1F40A2" w14:textId="77777777" w:rsidR="00BB62F4" w:rsidRDefault="00000000">
            <w:pPr>
              <w:pBdr>
                <w:top w:val="nil"/>
                <w:left w:val="nil"/>
                <w:bottom w:val="nil"/>
                <w:right w:val="nil"/>
                <w:between w:val="nil"/>
              </w:pBdr>
              <w:shd w:val="clear" w:color="auto" w:fill="FFFFFF"/>
              <w:ind w:left="360"/>
              <w:rPr>
                <w:i/>
                <w:iCs/>
                <w:color w:val="0000FF"/>
                <w:u w:val="single"/>
                <w:shd w:val="clear" w:color="auto" w:fill="D9E2F3"/>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65FF5EBE" w14:textId="77777777" w:rsidR="00BB62F4" w:rsidRDefault="00000000">
            <w:pPr>
              <w:shd w:val="clear" w:color="auto" w:fill="FFFFFF"/>
              <w:spacing w:after="0"/>
              <w:rPr>
                <w:rFonts w:ascii="EB Garamond" w:eastAsia="EB Garamond" w:hAnsi="EB Garamond" w:cs="EB Garamond"/>
                <w:color w:val="000000"/>
              </w:rPr>
            </w:pPr>
            <w:hyperlink r:id="rId101">
              <w:r>
                <w:rPr>
                  <w:rFonts w:ascii="EB Garamond" w:eastAsia="EB Garamond" w:hAnsi="EB Garamond" w:cs="EB Garamond"/>
                  <w:color w:val="0000FF"/>
                  <w:u w:val="single"/>
                </w:rPr>
                <w:t>NUPRC REVOCATION OF LICENSE</w:t>
              </w:r>
            </w:hyperlink>
          </w:p>
          <w:p w14:paraId="10E27B57" w14:textId="77777777" w:rsidR="00BB62F4" w:rsidRDefault="00000000">
            <w:pPr>
              <w:shd w:val="clear" w:color="auto" w:fill="FFFFFF"/>
              <w:spacing w:before="0"/>
            </w:pPr>
            <w:hyperlink r:id="rId102">
              <w:r>
                <w:rPr>
                  <w:rFonts w:ascii="EB Garamond" w:eastAsia="EB Garamond" w:hAnsi="EB Garamond" w:cs="EB Garamond"/>
                  <w:color w:val="0000FF"/>
                  <w:u w:val="single"/>
                </w:rPr>
                <w:t>PETRO</w:t>
              </w:r>
            </w:hyperlink>
          </w:p>
          <w:p w14:paraId="5BA263B0" w14:textId="77777777" w:rsidR="00BB62F4" w:rsidRDefault="00000000">
            <w:pPr>
              <w:shd w:val="clear" w:color="auto" w:fill="FFFFFF"/>
              <w:spacing w:before="0"/>
              <w:rPr>
                <w:rFonts w:ascii="EB Garamond" w:eastAsia="EB Garamond" w:hAnsi="EB Garamond" w:cs="EB Garamond"/>
                <w:color w:val="000000"/>
              </w:rPr>
            </w:pPr>
            <w:hyperlink r:id="rId103">
              <w:r>
                <w:rPr>
                  <w:rFonts w:ascii="EB Garamond" w:eastAsia="EB Garamond" w:hAnsi="EB Garamond" w:cs="EB Garamond"/>
                  <w:color w:val="0000FF"/>
                  <w:u w:val="single"/>
                </w:rPr>
                <w:t>EUM INDUSTRY ACT (PIA) 2021</w:t>
              </w:r>
            </w:hyperlink>
            <w:r>
              <w:rPr>
                <w:rFonts w:ascii="EB Garamond" w:eastAsia="EB Garamond" w:hAnsi="EB Garamond" w:cs="EB Garamond"/>
                <w:color w:val="000000"/>
              </w:rPr>
              <w:t xml:space="preserve"> (Chapter One, Part IV (Sections 92-97), for Midstream and Downstream, Sections 129-137)</w:t>
            </w:r>
          </w:p>
          <w:p w14:paraId="7FD741C8" w14:textId="77777777" w:rsidR="00BB62F4" w:rsidRDefault="00000000">
            <w:pPr>
              <w:pBdr>
                <w:top w:val="nil"/>
                <w:left w:val="nil"/>
                <w:bottom w:val="nil"/>
                <w:right w:val="nil"/>
                <w:between w:val="nil"/>
              </w:pBdr>
              <w:shd w:val="clear" w:color="auto" w:fill="FFFFFF"/>
              <w:rPr>
                <w:i/>
                <w:iCs/>
                <w:color w:val="000000"/>
              </w:rPr>
            </w:pPr>
            <w:r>
              <w:rPr>
                <w:i/>
                <w:iCs/>
                <w:color w:val="000000"/>
              </w:rPr>
              <w:t>AND / OR</w:t>
            </w:r>
          </w:p>
          <w:p w14:paraId="0003969D" w14:textId="77777777" w:rsidR="00BB62F4" w:rsidRDefault="00000000">
            <w:pPr>
              <w:pBdr>
                <w:top w:val="nil"/>
                <w:left w:val="nil"/>
                <w:bottom w:val="nil"/>
                <w:right w:val="nil"/>
                <w:between w:val="nil"/>
              </w:pBdr>
              <w:shd w:val="clear" w:color="auto" w:fill="FFFFFF"/>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24B5A961" w14:textId="77777777" w:rsidR="00BB62F4" w:rsidRDefault="00000000">
            <w:pPr>
              <w:pBdr>
                <w:top w:val="nil"/>
                <w:left w:val="nil"/>
                <w:bottom w:val="nil"/>
                <w:right w:val="nil"/>
                <w:between w:val="nil"/>
              </w:pBdr>
              <w:shd w:val="clear" w:color="auto" w:fill="FFFFFF"/>
              <w:rPr>
                <w:color w:val="000000"/>
                <w:shd w:val="clear" w:color="auto" w:fill="D9E2F3"/>
              </w:rPr>
            </w:pPr>
            <w:hyperlink r:id="rId104">
              <w:r>
                <w:rPr>
                  <w:color w:val="1155CC"/>
                  <w:u w:val="single"/>
                </w:rPr>
                <w:t>Appendix 4- Contextual Report- NEITI OGA 22-23 - QC Copy.pdf</w:t>
              </w:r>
            </w:hyperlink>
            <w:r>
              <w:t xml:space="preserve"> </w:t>
            </w:r>
            <w:r>
              <w:rPr>
                <w:color w:val="000000"/>
              </w:rPr>
              <w:t xml:space="preserve"> (Oil and Gas Industry Audit 2022-2023, Chapter 4, page 58.</w:t>
            </w:r>
          </w:p>
          <w:p w14:paraId="682FA563" w14:textId="77777777" w:rsidR="00BB62F4" w:rsidRDefault="00000000">
            <w:pPr>
              <w:pBdr>
                <w:top w:val="nil"/>
                <w:left w:val="nil"/>
                <w:bottom w:val="nil"/>
                <w:right w:val="nil"/>
                <w:between w:val="nil"/>
              </w:pBdr>
              <w:shd w:val="clear" w:color="auto" w:fill="FFFFFF"/>
              <w:rPr>
                <w:color w:val="000000"/>
                <w:shd w:val="clear" w:color="auto" w:fill="D9E2F3"/>
              </w:rPr>
            </w:pPr>
            <w:hyperlink r:id="rId105">
              <w:r>
                <w:rPr>
                  <w:color w:val="0000FF"/>
                  <w:u w:val="single"/>
                </w:rPr>
                <w:t>NEITI 2023 Oil and Gas Industry Audit</w:t>
              </w:r>
            </w:hyperlink>
            <w:r>
              <w:rPr>
                <w:color w:val="000000"/>
              </w:rPr>
              <w:t>, Chapter 2, page 27.</w:t>
            </w:r>
          </w:p>
          <w:p w14:paraId="06E8A2A5" w14:textId="77777777" w:rsidR="00BB62F4" w:rsidRDefault="00BB62F4">
            <w:pPr>
              <w:pBdr>
                <w:top w:val="nil"/>
                <w:left w:val="nil"/>
                <w:bottom w:val="nil"/>
                <w:right w:val="nil"/>
                <w:between w:val="nil"/>
              </w:pBdr>
              <w:ind w:left="360"/>
              <w:rPr>
                <w:i/>
                <w:iCs/>
                <w:color w:val="000000"/>
              </w:rPr>
            </w:pPr>
          </w:p>
          <w:p w14:paraId="25B43D4E" w14:textId="77777777" w:rsidR="00BB62F4" w:rsidRDefault="00000000">
            <w:pPr>
              <w:pBdr>
                <w:top w:val="nil"/>
                <w:left w:val="nil"/>
                <w:bottom w:val="nil"/>
                <w:right w:val="nil"/>
                <w:between w:val="nil"/>
              </w:pBdr>
              <w:rPr>
                <w:i/>
                <w:iCs/>
                <w:color w:val="000000"/>
              </w:rPr>
            </w:pPr>
            <w:r>
              <w:rPr>
                <w:color w:val="000000"/>
              </w:rPr>
              <w:t xml:space="preserve">Information on changes in majority ownership of license-holding companies </w:t>
            </w:r>
          </w:p>
          <w:p w14:paraId="0EA09701" w14:textId="77777777" w:rsidR="00BB62F4" w:rsidRDefault="00000000">
            <w:pPr>
              <w:ind w:left="360"/>
              <w:rPr>
                <w:shd w:val="clear" w:color="auto" w:fill="D9E2F3"/>
              </w:rPr>
            </w:pPr>
            <w:r>
              <w:rPr>
                <w:rFonts w:ascii="MS Gothic" w:eastAsia="MS Gothic" w:hAnsi="MS Gothic" w:cs="MS Gothic"/>
              </w:rPr>
              <w:t>☒</w:t>
            </w:r>
            <w:r>
              <w:t xml:space="preserve"> </w:t>
            </w:r>
            <w:r>
              <w:rPr>
                <w:shd w:val="clear" w:color="auto" w:fill="D9E2F3"/>
              </w:rPr>
              <w:t xml:space="preserve">Yes </w:t>
            </w:r>
            <w:r>
              <w:t xml:space="preserve">  </w:t>
            </w:r>
            <w:r>
              <w:rPr>
                <w:rFonts w:ascii="MS Gothic" w:eastAsia="MS Gothic" w:hAnsi="MS Gothic" w:cs="MS Gothic"/>
              </w:rPr>
              <w:t>☐</w:t>
            </w:r>
            <w:r>
              <w:rPr>
                <w:shd w:val="clear" w:color="auto" w:fill="D9E2F3"/>
              </w:rPr>
              <w:t>No</w:t>
            </w:r>
          </w:p>
          <w:p w14:paraId="41CDC7A5" w14:textId="77777777" w:rsidR="00BB62F4" w:rsidRDefault="00000000">
            <w:pPr>
              <w:pBdr>
                <w:top w:val="nil"/>
                <w:left w:val="nil"/>
                <w:bottom w:val="nil"/>
                <w:right w:val="nil"/>
                <w:between w:val="nil"/>
              </w:pBdr>
              <w:shd w:val="clear" w:color="auto" w:fill="FFFFFF"/>
              <w:ind w:left="360"/>
              <w:rPr>
                <w:i/>
                <w:iCs/>
                <w:color w:val="0000FF"/>
                <w:u w:val="single"/>
                <w:shd w:val="clear" w:color="auto" w:fill="D9E2F3"/>
              </w:rPr>
            </w:pPr>
            <w:r>
              <w:rPr>
                <w:b/>
                <w:bCs/>
                <w:i/>
                <w:iCs/>
                <w:color w:val="000000"/>
              </w:rPr>
              <w:t xml:space="preserve">Source: </w:t>
            </w:r>
            <w:r>
              <w:rPr>
                <w:i/>
                <w:iCs/>
                <w:color w:val="000000"/>
              </w:rPr>
              <w:t xml:space="preserve">Systematic disclosures: </w:t>
            </w:r>
            <w:r>
              <w:rPr>
                <w:i/>
                <w:iCs/>
                <w:color w:val="000000"/>
                <w:shd w:val="clear" w:color="auto" w:fill="D9E2F3"/>
              </w:rPr>
              <w:t xml:space="preserve">website or routine publication by the </w:t>
            </w:r>
            <w:hyperlink w:anchor="_heading=h.ceyfom1ili73">
              <w:r>
                <w:rPr>
                  <w:i/>
                  <w:iCs/>
                  <w:color w:val="0000FF"/>
                  <w:u w:val="single"/>
                  <w:shd w:val="clear" w:color="auto" w:fill="D9E2F3"/>
                </w:rPr>
                <w:t>holders of information</w:t>
              </w:r>
            </w:hyperlink>
          </w:p>
          <w:p w14:paraId="0E70ED52" w14:textId="77777777" w:rsidR="00BB62F4" w:rsidRDefault="00000000">
            <w:pPr>
              <w:shd w:val="clear" w:color="auto" w:fill="FFFFFF"/>
              <w:ind w:left="360"/>
              <w:rPr>
                <w:rFonts w:ascii="Times New Roman" w:eastAsia="Times New Roman" w:hAnsi="Times New Roman" w:cs="Times New Roman"/>
                <w:sz w:val="24"/>
                <w:szCs w:val="24"/>
              </w:rPr>
            </w:pPr>
            <w:r>
              <w:rPr>
                <w:rFonts w:ascii="EB Garamond" w:eastAsia="EB Garamond" w:hAnsi="EB Garamond" w:cs="EB Garamond"/>
                <w:color w:val="000000"/>
              </w:rPr>
              <w:t>Nigeria enforced strict beneficial ownership disclosures in 2023 for oil and license holders via the NUPRC and NMDPRA, requiring identification of real owners. Changes in ownership exceeding 50% require prior ministerial consent under the Petroleum Industry Act (PIA) 2021. The key Agencies for documents and records include;</w:t>
            </w:r>
          </w:p>
          <w:p w14:paraId="1D4D173E" w14:textId="77777777" w:rsidR="00BB62F4" w:rsidRDefault="00000000">
            <w:pPr>
              <w:shd w:val="clear" w:color="auto" w:fill="FFFFFF"/>
              <w:rPr>
                <w:rFonts w:ascii="EB Garamond" w:eastAsia="EB Garamond" w:hAnsi="EB Garamond" w:cs="EB Garamond"/>
                <w:color w:val="000000"/>
              </w:rPr>
            </w:pPr>
            <w:r>
              <w:rPr>
                <w:rFonts w:ascii="EB Garamond" w:eastAsia="EB Garamond" w:hAnsi="EB Garamond" w:cs="EB Garamond"/>
                <w:color w:val="000000"/>
              </w:rPr>
              <w:lastRenderedPageBreak/>
              <w:t>NUPRC: Primary source of ownership, assignments, and transfers of Upstream Oil Mining Leases (OML) and Petroleum Prospecting Licences (PPL).</w:t>
            </w:r>
          </w:p>
          <w:p w14:paraId="31815EB2" w14:textId="77777777" w:rsidR="00BB62F4" w:rsidRDefault="00000000">
            <w:pPr>
              <w:shd w:val="clear" w:color="auto" w:fill="FFFFFF"/>
              <w:spacing w:after="0"/>
              <w:rPr>
                <w:rFonts w:ascii="EB Garamond" w:eastAsia="EB Garamond" w:hAnsi="EB Garamond" w:cs="EB Garamond"/>
                <w:color w:val="000000"/>
              </w:rPr>
            </w:pPr>
            <w:hyperlink r:id="rId106">
              <w:r>
                <w:rPr>
                  <w:rFonts w:ascii="EB Garamond" w:eastAsia="EB Garamond" w:hAnsi="EB Garamond" w:cs="EB Garamond"/>
                  <w:color w:val="0000FF"/>
                  <w:u w:val="single"/>
                </w:rPr>
                <w:t>https://www.nuprc.gov.ng/oil-assets-ownership-disclosure-framework-hits-80/#:~:text=Oil%20assets:%20Ownership%20disclosure%20framework,Nigerian%20Upstream%20Petroleum%20Regulatory%20Commission</w:t>
              </w:r>
            </w:hyperlink>
          </w:p>
          <w:p w14:paraId="4B1A9CD8" w14:textId="77777777" w:rsidR="00BB62F4" w:rsidRDefault="00000000">
            <w:pPr>
              <w:shd w:val="clear" w:color="auto" w:fill="FFFFFF"/>
              <w:spacing w:before="0"/>
              <w:rPr>
                <w:rFonts w:ascii="EB Garamond" w:eastAsia="EB Garamond" w:hAnsi="EB Garamond" w:cs="EB Garamond"/>
                <w:color w:val="000000"/>
              </w:rPr>
            </w:pPr>
            <w:hyperlink r:id="rId107">
              <w:r>
                <w:rPr>
                  <w:rFonts w:ascii="EB Garamond" w:eastAsia="EB Garamond" w:hAnsi="EB Garamond" w:cs="EB Garamond"/>
                  <w:color w:val="1155CC"/>
                  <w:u w:val="single"/>
                </w:rPr>
                <w:t>https://www.nuprc.gov.ng/upload/nuprc_laws/Nigerian_Upstream_Petroleum_Assignment_of_Interest_Regulations_2023_c66f0732c3436c05396b2258.pdf</w:t>
              </w:r>
            </w:hyperlink>
          </w:p>
          <w:p w14:paraId="56FFDD90" w14:textId="77777777" w:rsidR="00BB62F4" w:rsidRDefault="00000000">
            <w:pPr>
              <w:shd w:val="clear" w:color="auto" w:fill="FFFFFF"/>
              <w:spacing w:after="0"/>
              <w:rPr>
                <w:rFonts w:ascii="EB Garamond" w:eastAsia="EB Garamond" w:hAnsi="EB Garamond" w:cs="EB Garamond"/>
                <w:color w:val="000000"/>
              </w:rPr>
            </w:pPr>
            <w:r>
              <w:rPr>
                <w:rFonts w:ascii="EB Garamond" w:eastAsia="EB Garamond" w:hAnsi="EB Garamond" w:cs="EB Garamond"/>
                <w:color w:val="000000"/>
              </w:rPr>
              <w:t>NMDPRA manages transfers of licenses and permits for midstream and downstream operations, effective from February 2023.</w:t>
            </w:r>
          </w:p>
          <w:p w14:paraId="30E3C803" w14:textId="77777777" w:rsidR="00BB62F4" w:rsidRDefault="00000000">
            <w:pPr>
              <w:shd w:val="clear" w:color="auto" w:fill="FFFFFF"/>
              <w:spacing w:before="0" w:after="0"/>
              <w:rPr>
                <w:rFonts w:ascii="EB Garamond" w:eastAsia="EB Garamond" w:hAnsi="EB Garamond" w:cs="EB Garamond"/>
                <w:color w:val="000000"/>
              </w:rPr>
            </w:pPr>
            <w:r>
              <w:rPr>
                <w:rFonts w:ascii="EB Garamond" w:eastAsia="EB Garamond" w:hAnsi="EB Garamond" w:cs="EB Garamond"/>
                <w:color w:val="000000"/>
              </w:rPr>
              <w:t>CAC holds statutory records of company ownership</w:t>
            </w:r>
            <w:hyperlink r:id="rId108">
              <w:r>
                <w:rPr>
                  <w:rFonts w:ascii="EB Garamond" w:eastAsia="EB Garamond" w:hAnsi="EB Garamond" w:cs="EB Garamond"/>
                  <w:color w:val="0000FF"/>
                  <w:u w:val="single"/>
                </w:rPr>
                <w:t xml:space="preserve"> changes</w:t>
              </w:r>
            </w:hyperlink>
            <w:r>
              <w:rPr>
                <w:rFonts w:ascii="EB Garamond" w:eastAsia="EB Garamond" w:hAnsi="EB Garamond" w:cs="EB Garamond"/>
                <w:color w:val="000000"/>
              </w:rPr>
              <w:t>.</w:t>
            </w:r>
          </w:p>
          <w:p w14:paraId="2D7CE7BE" w14:textId="77777777" w:rsidR="00BB62F4" w:rsidRDefault="00000000">
            <w:pPr>
              <w:pBdr>
                <w:top w:val="nil"/>
                <w:left w:val="nil"/>
                <w:bottom w:val="nil"/>
                <w:right w:val="nil"/>
                <w:between w:val="nil"/>
              </w:pBdr>
              <w:shd w:val="clear" w:color="auto" w:fill="FFFFFF"/>
              <w:rPr>
                <w:i/>
                <w:iCs/>
                <w:color w:val="000000"/>
              </w:rPr>
            </w:pPr>
            <w:r>
              <w:rPr>
                <w:i/>
                <w:iCs/>
                <w:color w:val="000000"/>
              </w:rPr>
              <w:t>AND / OR</w:t>
            </w:r>
          </w:p>
          <w:p w14:paraId="2BD336E5" w14:textId="77777777" w:rsidR="00BB62F4" w:rsidRDefault="00000000">
            <w:pPr>
              <w:pBdr>
                <w:top w:val="nil"/>
                <w:left w:val="nil"/>
                <w:bottom w:val="nil"/>
                <w:right w:val="nil"/>
                <w:between w:val="nil"/>
              </w:pBdr>
              <w:rPr>
                <w:i/>
                <w:iCs/>
                <w:color w:val="000000"/>
                <w:shd w:val="clear" w:color="auto" w:fill="D9E2F3"/>
              </w:rPr>
            </w:pPr>
            <w:r>
              <w:rPr>
                <w:i/>
                <w:iCs/>
                <w:color w:val="000000"/>
              </w:rPr>
              <w:t xml:space="preserve">Other sources: </w:t>
            </w:r>
            <w:r>
              <w:rPr>
                <w:i/>
                <w:iCs/>
                <w:color w:val="000000"/>
                <w:shd w:val="clear" w:color="auto" w:fill="D9E2F3"/>
              </w:rPr>
              <w:t>EITI Report (year and page number), EITI website etc</w:t>
            </w:r>
          </w:p>
          <w:p w14:paraId="60EDC4FC" w14:textId="77777777" w:rsidR="00BB62F4" w:rsidRDefault="00000000">
            <w:pPr>
              <w:rPr>
                <w:rFonts w:ascii="EB Garamond" w:eastAsia="EB Garamond" w:hAnsi="EB Garamond" w:cs="EB Garamond"/>
                <w:color w:val="000000"/>
              </w:rPr>
            </w:pPr>
            <w:r>
              <w:rPr>
                <w:rFonts w:ascii="EB Garamond" w:eastAsia="EB Garamond" w:hAnsi="EB Garamond" w:cs="EB Garamond"/>
                <w:color w:val="000000"/>
              </w:rPr>
              <w:t xml:space="preserve">NEITI publishes reports on beneficial owners in the extractives </w:t>
            </w:r>
            <w:proofErr w:type="gramStart"/>
            <w:r>
              <w:rPr>
                <w:rFonts w:ascii="EB Garamond" w:eastAsia="EB Garamond" w:hAnsi="EB Garamond" w:cs="EB Garamond"/>
                <w:color w:val="000000"/>
              </w:rPr>
              <w:t>sector .</w:t>
            </w:r>
            <w:proofErr w:type="gramEnd"/>
            <w:r>
              <w:fldChar w:fldCharType="begin"/>
            </w:r>
            <w:r>
              <w:instrText>HYPERLINK "https://bo.neiti.gov.ng/" \h</w:instrText>
            </w:r>
            <w:r>
              <w:fldChar w:fldCharType="separate"/>
            </w:r>
            <w:r>
              <w:rPr>
                <w:rFonts w:ascii="EB Garamond" w:eastAsia="EB Garamond" w:hAnsi="EB Garamond" w:cs="EB Garamond"/>
                <w:color w:val="0000FF"/>
                <w:u w:val="single"/>
              </w:rPr>
              <w:t>https://bo.neiti.gov.ng/</w:t>
            </w:r>
            <w:r>
              <w:fldChar w:fldCharType="end"/>
            </w:r>
          </w:p>
          <w:p w14:paraId="1CAAD090" w14:textId="77777777" w:rsidR="00BB62F4" w:rsidRDefault="00BB62F4">
            <w:pPr>
              <w:ind w:left="1080"/>
            </w:pPr>
          </w:p>
        </w:tc>
      </w:tr>
    </w:tbl>
    <w:p w14:paraId="5F5F7DCE" w14:textId="77777777" w:rsidR="00BB62F4" w:rsidRDefault="00BB62F4"/>
    <w:p w14:paraId="6D6A384D" w14:textId="77777777" w:rsidR="00BB62F4" w:rsidRDefault="00000000">
      <w:r>
        <w:t>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a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252CA937" w14:textId="77777777">
        <w:tc>
          <w:tcPr>
            <w:tcW w:w="9062" w:type="dxa"/>
            <w:shd w:val="clear" w:color="auto" w:fill="D9E2F3"/>
          </w:tcPr>
          <w:p w14:paraId="1EFED477" w14:textId="77777777" w:rsidR="00BB62F4" w:rsidRDefault="00000000">
            <w:r>
              <w:t xml:space="preserve">Add any further comments: </w:t>
            </w:r>
          </w:p>
          <w:p w14:paraId="3129A1B0" w14:textId="77777777" w:rsidR="00BB62F4" w:rsidRDefault="00BB62F4"/>
        </w:tc>
      </w:tr>
    </w:tbl>
    <w:p w14:paraId="3D647960" w14:textId="77777777" w:rsidR="00BB62F4" w:rsidRDefault="00BB62F4"/>
    <w:p w14:paraId="52911BE9" w14:textId="77777777" w:rsidR="00BB62F4" w:rsidRDefault="00000000">
      <w:pPr>
        <w:pStyle w:val="Heading3"/>
      </w:pPr>
      <w:bookmarkStart w:id="8" w:name="_heading=h.wt6bll98kcqu" w:colFirst="0" w:colLast="0"/>
      <w:bookmarkEnd w:id="8"/>
      <w:r>
        <w:t xml:space="preserve">Underlying objective </w:t>
      </w:r>
    </w:p>
    <w:p w14:paraId="23E890CA" w14:textId="77777777" w:rsidR="00BB62F4" w:rsidRDefault="00000000">
      <w:pPr>
        <w:rPr>
          <w:i/>
          <w:iCs/>
        </w:rPr>
      </w:pPr>
      <w:r>
        <w:rPr>
          <w:i/>
          <w:iCs/>
        </w:rPr>
        <w:t xml:space="preserve">The objective of this requirement is to provide a public overview of awards and transfers of oil, gas and mining licenses, the statutory procedures for license awards and transfers, and whether these procedures are followed in practice. </w:t>
      </w:r>
    </w:p>
    <w:p w14:paraId="2C075260" w14:textId="77777777" w:rsidR="00BB62F4" w:rsidRDefault="00000000">
      <w:pPr>
        <w:rPr>
          <w:b/>
          <w:bCs/>
        </w:rPr>
      </w:pPr>
      <w:r>
        <w:rPr>
          <w:b/>
          <w:bCs/>
        </w:rPr>
        <w:t>Use of information</w:t>
      </w:r>
    </w:p>
    <w:p w14:paraId="2FF0012C" w14:textId="77777777" w:rsidR="00BB62F4" w:rsidRDefault="00000000">
      <w:pPr>
        <w:numPr>
          <w:ilvl w:val="0"/>
          <w:numId w:val="12"/>
        </w:numPr>
        <w:pBdr>
          <w:top w:val="nil"/>
          <w:left w:val="nil"/>
          <w:bottom w:val="nil"/>
          <w:right w:val="nil"/>
          <w:between w:val="nil"/>
        </w:pBdr>
        <w:rPr>
          <w:color w:val="000000"/>
        </w:rPr>
      </w:pPr>
      <w:r>
        <w:rPr>
          <w:color w:val="000000"/>
        </w:rPr>
        <w:t>Have there been any significant issues or controversy, or ongoing reforms related to the extractive sector contracts, license awards or transfers during the period covered by the latest EITI disclosures?</w:t>
      </w:r>
    </w:p>
    <w:p w14:paraId="2569B5B9" w14:textId="77777777" w:rsidR="00BB62F4" w:rsidRDefault="00000000">
      <w:pPr>
        <w:pBdr>
          <w:top w:val="nil"/>
          <w:left w:val="nil"/>
          <w:bottom w:val="nil"/>
          <w:right w:val="nil"/>
          <w:between w:val="nil"/>
        </w:pBdr>
        <w:ind w:left="720"/>
        <w:rPr>
          <w:color w:val="7F7F7F"/>
        </w:rPr>
      </w:pPr>
      <w:r>
        <w:rPr>
          <w:color w:val="7F7F7F"/>
        </w:rPr>
        <w:t xml:space="preserve">Examples could include delays in contract awards, allegations of mismanagement, legal changes. If yes, please elaborate. </w:t>
      </w:r>
    </w:p>
    <w:tbl>
      <w:tblPr>
        <w:tblStyle w:val="a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45DF29CB" w14:textId="77777777">
        <w:tc>
          <w:tcPr>
            <w:tcW w:w="9062" w:type="dxa"/>
          </w:tcPr>
          <w:p w14:paraId="636D51A6"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73E2262B" w14:textId="77777777" w:rsidR="00BB62F4" w:rsidRDefault="00BB62F4">
            <w:pPr>
              <w:rPr>
                <w:i/>
                <w:iCs/>
              </w:rPr>
            </w:pPr>
          </w:p>
        </w:tc>
      </w:tr>
    </w:tbl>
    <w:p w14:paraId="1D53396C" w14:textId="77777777" w:rsidR="00BB62F4" w:rsidRDefault="00BB62F4">
      <w:pPr>
        <w:rPr>
          <w:b/>
          <w:bCs/>
        </w:rPr>
      </w:pPr>
    </w:p>
    <w:p w14:paraId="1CCEB48F" w14:textId="77777777" w:rsidR="00BB62F4" w:rsidRDefault="00000000">
      <w:pPr>
        <w:numPr>
          <w:ilvl w:val="0"/>
          <w:numId w:val="12"/>
        </w:numPr>
        <w:pBdr>
          <w:top w:val="nil"/>
          <w:left w:val="nil"/>
          <w:bottom w:val="nil"/>
          <w:right w:val="nil"/>
          <w:between w:val="nil"/>
        </w:pBdr>
        <w:rPr>
          <w:color w:val="000000"/>
        </w:rPr>
      </w:pPr>
      <w:r>
        <w:rPr>
          <w:color w:val="000000"/>
        </w:rPr>
        <w:t xml:space="preserve">Has the MSG engaged with these issues using EITI data or EITI processes? </w:t>
      </w:r>
    </w:p>
    <w:tbl>
      <w:tblPr>
        <w:tblStyle w:val="a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55830038" w14:textId="77777777">
        <w:tc>
          <w:tcPr>
            <w:tcW w:w="9062" w:type="dxa"/>
          </w:tcPr>
          <w:p w14:paraId="40F1A100"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10BA48AE" w14:textId="77777777" w:rsidR="00BB62F4" w:rsidRDefault="00000000">
            <w:pPr>
              <w:rPr>
                <w:i/>
                <w:iCs/>
              </w:rPr>
            </w:pPr>
            <w:r>
              <w:rPr>
                <w:i/>
                <w:iCs/>
                <w:shd w:val="clear" w:color="auto" w:fill="D9E2F3"/>
              </w:rPr>
              <w:lastRenderedPageBreak/>
              <w:t>If yes, please describe how the MSG has leveraged EITI data or processes to address these challenges.</w:t>
            </w:r>
          </w:p>
        </w:tc>
      </w:tr>
    </w:tbl>
    <w:p w14:paraId="1DAC4959" w14:textId="77777777" w:rsidR="00BB62F4" w:rsidRDefault="00BB62F4"/>
    <w:p w14:paraId="7586AF79" w14:textId="77777777" w:rsidR="00BB62F4" w:rsidRDefault="00000000">
      <w:pPr>
        <w:numPr>
          <w:ilvl w:val="0"/>
          <w:numId w:val="64"/>
        </w:numPr>
        <w:pBdr>
          <w:top w:val="nil"/>
          <w:left w:val="nil"/>
          <w:bottom w:val="nil"/>
          <w:right w:val="nil"/>
          <w:between w:val="nil"/>
        </w:pBdr>
        <w:rPr>
          <w:color w:val="000000"/>
        </w:rPr>
      </w:pPr>
      <w:r>
        <w:rPr>
          <w:color w:val="000000"/>
        </w:rPr>
        <w:t>Is any of the information as set out above available in open format, for example as excel work sheet?</w:t>
      </w:r>
    </w:p>
    <w:tbl>
      <w:tblPr>
        <w:tblStyle w:val="a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47FB15CA" w14:textId="77777777">
        <w:tc>
          <w:tcPr>
            <w:tcW w:w="9062" w:type="dxa"/>
          </w:tcPr>
          <w:p w14:paraId="4B06B47C"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B46D8E1" w14:textId="77777777" w:rsidR="00BB62F4" w:rsidRDefault="00000000">
            <w:pPr>
              <w:rPr>
                <w:i/>
                <w:iCs/>
              </w:rPr>
            </w:pPr>
            <w:r>
              <w:rPr>
                <w:i/>
                <w:iCs/>
                <w:shd w:val="clear" w:color="auto" w:fill="D9E2F3"/>
              </w:rPr>
              <w:t>Describe the data set(s) available, including in what format</w:t>
            </w:r>
          </w:p>
        </w:tc>
      </w:tr>
    </w:tbl>
    <w:p w14:paraId="067FCF5C" w14:textId="77777777" w:rsidR="00BB62F4" w:rsidRDefault="00BB62F4">
      <w:pPr>
        <w:pBdr>
          <w:top w:val="nil"/>
          <w:left w:val="nil"/>
          <w:bottom w:val="nil"/>
          <w:right w:val="nil"/>
          <w:between w:val="nil"/>
        </w:pBdr>
        <w:ind w:left="720"/>
        <w:rPr>
          <w:color w:val="000000"/>
        </w:rPr>
      </w:pPr>
    </w:p>
    <w:p w14:paraId="7042C241" w14:textId="77777777" w:rsidR="00BB62F4" w:rsidRDefault="00000000">
      <w:pPr>
        <w:numPr>
          <w:ilvl w:val="0"/>
          <w:numId w:val="64"/>
        </w:numPr>
        <w:pBdr>
          <w:top w:val="nil"/>
          <w:left w:val="nil"/>
          <w:bottom w:val="nil"/>
          <w:right w:val="nil"/>
          <w:between w:val="nil"/>
        </w:pBdr>
        <w:rPr>
          <w:color w:val="000000"/>
        </w:rPr>
      </w:pPr>
      <w:r>
        <w:rPr>
          <w:color w:val="000000"/>
        </w:rPr>
        <w:t>Has the MSG conducted any analysis of license information)? This can include data of license allocations, transfers, backlogs in applications?</w:t>
      </w:r>
    </w:p>
    <w:tbl>
      <w:tblPr>
        <w:tblStyle w:val="a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0B83FCA5" w14:textId="77777777">
        <w:tc>
          <w:tcPr>
            <w:tcW w:w="9062" w:type="dxa"/>
          </w:tcPr>
          <w:p w14:paraId="4C231C8B" w14:textId="77777777" w:rsidR="00BB62F4" w:rsidRDefault="00000000">
            <w:pPr>
              <w:jc w:val="both"/>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7A0ACDBE" w14:textId="77777777" w:rsidR="00BB62F4" w:rsidRDefault="00000000">
            <w:pPr>
              <w:rPr>
                <w:i/>
                <w:iCs/>
              </w:rPr>
            </w:pPr>
            <w:r>
              <w:rPr>
                <w:i/>
                <w:iCs/>
                <w:shd w:val="clear" w:color="auto" w:fill="D9E2F3"/>
              </w:rPr>
              <w:t>If yes, sources of where this analysis can be found and key findings:</w:t>
            </w:r>
            <w:r>
              <w:rPr>
                <w:i/>
                <w:iCs/>
              </w:rPr>
              <w:t xml:space="preserve"> </w:t>
            </w:r>
          </w:p>
        </w:tc>
      </w:tr>
    </w:tbl>
    <w:p w14:paraId="617FFAEA" w14:textId="77777777" w:rsidR="00BB62F4" w:rsidRDefault="00BB62F4"/>
    <w:p w14:paraId="05C9CCF6" w14:textId="77777777" w:rsidR="00BB62F4" w:rsidRDefault="00000000">
      <w:pPr>
        <w:numPr>
          <w:ilvl w:val="0"/>
          <w:numId w:val="64"/>
        </w:numPr>
        <w:pBdr>
          <w:top w:val="nil"/>
          <w:left w:val="nil"/>
          <w:bottom w:val="nil"/>
          <w:right w:val="nil"/>
          <w:between w:val="nil"/>
        </w:pBdr>
        <w:rPr>
          <w:color w:val="000000"/>
        </w:rPr>
      </w:pPr>
      <w:r>
        <w:rPr>
          <w:color w:val="000000"/>
        </w:rPr>
        <w:t>Is the MSG aware of stakeholders using this information?</w:t>
      </w:r>
    </w:p>
    <w:tbl>
      <w:tblPr>
        <w:tblStyle w:val="a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2699CF6F" w14:textId="77777777">
        <w:tc>
          <w:tcPr>
            <w:tcW w:w="9062" w:type="dxa"/>
          </w:tcPr>
          <w:p w14:paraId="29C8A6B3"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11AFF6C0" w14:textId="77777777" w:rsidR="00BB62F4" w:rsidRDefault="00000000">
            <w:pPr>
              <w:rPr>
                <w:i/>
                <w:iCs/>
              </w:rPr>
            </w:pPr>
            <w:r>
              <w:rPr>
                <w:i/>
                <w:iCs/>
                <w:shd w:val="clear" w:color="auto" w:fill="D9E2F3"/>
              </w:rPr>
              <w:t>If yes, sources of where this analysis can be found:</w:t>
            </w:r>
            <w:r>
              <w:rPr>
                <w:i/>
                <w:iCs/>
              </w:rPr>
              <w:t xml:space="preserve"> </w:t>
            </w:r>
          </w:p>
        </w:tc>
      </w:tr>
    </w:tbl>
    <w:p w14:paraId="75B7AB30" w14:textId="77777777" w:rsidR="00BB62F4" w:rsidRDefault="00BB62F4"/>
    <w:p w14:paraId="222F56C9" w14:textId="77777777" w:rsidR="00BB62F4" w:rsidRDefault="00000000">
      <w:pPr>
        <w:pStyle w:val="Heading3"/>
      </w:pPr>
      <w:bookmarkStart w:id="9" w:name="_heading=h.lmm2zydzfdi1" w:colFirst="0" w:colLast="0"/>
      <w:bookmarkEnd w:id="9"/>
      <w:r>
        <w:t>Conclusion</w:t>
      </w:r>
    </w:p>
    <w:p w14:paraId="0D212AB9" w14:textId="77777777" w:rsidR="00BB62F4" w:rsidRDefault="00000000">
      <w:pPr>
        <w:pBdr>
          <w:top w:val="nil"/>
          <w:left w:val="nil"/>
          <w:bottom w:val="nil"/>
          <w:right w:val="nil"/>
          <w:between w:val="nil"/>
        </w:pBdr>
        <w:spacing w:line="276" w:lineRule="auto"/>
        <w:rPr>
          <w:color w:val="000000"/>
          <w:sz w:val="22"/>
          <w:szCs w:val="22"/>
        </w:rPr>
      </w:pPr>
      <w:r>
        <w:rPr>
          <w:color w:val="000000"/>
          <w:sz w:val="22"/>
          <w:szCs w:val="22"/>
        </w:rPr>
        <w:t xml:space="preserve">Based on the above, what is the MSG’s self-assessments towards fulfilling both the </w:t>
      </w:r>
      <w:hyperlink w:anchor="_heading=h.68b73cbtr12g">
        <w:r>
          <w:rPr>
            <w:color w:val="0000FF"/>
            <w:sz w:val="22"/>
            <w:szCs w:val="22"/>
            <w:u w:val="single"/>
          </w:rPr>
          <w:t>objective</w:t>
        </w:r>
      </w:hyperlink>
      <w:r>
        <w:rPr>
          <w:color w:val="000000"/>
          <w:sz w:val="22"/>
          <w:szCs w:val="22"/>
        </w:rPr>
        <w:t xml:space="preserve"> and </w:t>
      </w:r>
      <w:hyperlink w:anchor="_heading=h.mgq0sbldaoe">
        <w:r>
          <w:rPr>
            <w:color w:val="0000FF"/>
            <w:sz w:val="22"/>
            <w:szCs w:val="22"/>
            <w:u w:val="single"/>
          </w:rPr>
          <w:t>technical requirements</w:t>
        </w:r>
      </w:hyperlink>
      <w:r>
        <w:rPr>
          <w:color w:val="000000"/>
          <w:sz w:val="22"/>
          <w:szCs w:val="22"/>
        </w:rPr>
        <w:t>?</w:t>
      </w:r>
    </w:p>
    <w:p w14:paraId="4C70BC8B" w14:textId="77777777" w:rsidR="00BB62F4" w:rsidRDefault="00BB62F4">
      <w:pPr>
        <w:pBdr>
          <w:top w:val="nil"/>
          <w:left w:val="nil"/>
          <w:bottom w:val="nil"/>
          <w:right w:val="nil"/>
          <w:between w:val="nil"/>
        </w:pBdr>
        <w:spacing w:line="276" w:lineRule="auto"/>
        <w:rPr>
          <w:color w:val="000000"/>
          <w:sz w:val="22"/>
          <w:szCs w:val="22"/>
        </w:rPr>
      </w:pPr>
    </w:p>
    <w:p w14:paraId="1BFE0953" w14:textId="77777777" w:rsidR="00BB62F4" w:rsidRDefault="00000000">
      <w:pPr>
        <w:pBdr>
          <w:top w:val="nil"/>
          <w:left w:val="nil"/>
          <w:bottom w:val="nil"/>
          <w:right w:val="nil"/>
          <w:between w:val="nil"/>
        </w:pBdr>
        <w:spacing w:line="276" w:lineRule="auto"/>
        <w:rPr>
          <w:color w:val="000000"/>
          <w:sz w:val="22"/>
          <w:szCs w:val="22"/>
        </w:rPr>
      </w:pPr>
      <w:r>
        <w:rPr>
          <w:color w:val="000000"/>
          <w:sz w:val="22"/>
          <w:szCs w:val="22"/>
        </w:rPr>
        <w:t>Score is:</w:t>
      </w:r>
    </w:p>
    <w:tbl>
      <w:tblPr>
        <w:tblStyle w:val="a9"/>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BB62F4" w14:paraId="253280A8" w14:textId="77777777">
        <w:trPr>
          <w:trHeight w:val="60"/>
        </w:trPr>
        <w:tc>
          <w:tcPr>
            <w:tcW w:w="1413" w:type="dxa"/>
          </w:tcPr>
          <w:p w14:paraId="7BB86D0C" w14:textId="77777777" w:rsidR="00BB62F4" w:rsidRDefault="00000000">
            <w:pPr>
              <w:spacing w:before="0" w:after="0"/>
              <w:rPr>
                <w:sz w:val="22"/>
                <w:szCs w:val="22"/>
              </w:rPr>
            </w:pPr>
            <w:sdt>
              <w:sdtPr>
                <w:tag w:val="goog_rdk_0"/>
                <w:id w:val="-224294301"/>
              </w:sdtPr>
              <w:sdtContent>
                <w:r>
                  <w:rPr>
                    <w:rFonts w:ascii="Arial Unicode MS" w:eastAsia="Arial Unicode MS" w:hAnsi="Arial Unicode MS" w:cs="Arial Unicode MS"/>
                    <w:b/>
                    <w:bCs/>
                    <w:sz w:val="22"/>
                    <w:szCs w:val="22"/>
                  </w:rPr>
                  <w:t>☐</w:t>
                </w:r>
              </w:sdtContent>
            </w:sdt>
          </w:p>
        </w:tc>
        <w:tc>
          <w:tcPr>
            <w:tcW w:w="1134" w:type="dxa"/>
          </w:tcPr>
          <w:p w14:paraId="6D3C5287" w14:textId="77777777" w:rsidR="00BB62F4" w:rsidRDefault="00000000">
            <w:pPr>
              <w:spacing w:before="0" w:after="0"/>
              <w:rPr>
                <w:sz w:val="22"/>
                <w:szCs w:val="22"/>
              </w:rPr>
            </w:pPr>
            <w:r>
              <w:rPr>
                <w:rFonts w:ascii="MS Gothic" w:eastAsia="MS Gothic" w:hAnsi="MS Gothic" w:cs="MS Gothic"/>
                <w:sz w:val="22"/>
                <w:szCs w:val="22"/>
              </w:rPr>
              <w:t>☐</w:t>
            </w:r>
          </w:p>
        </w:tc>
        <w:tc>
          <w:tcPr>
            <w:tcW w:w="1417" w:type="dxa"/>
          </w:tcPr>
          <w:p w14:paraId="3E36F7E9" w14:textId="77777777" w:rsidR="00BB62F4" w:rsidRDefault="00000000">
            <w:pPr>
              <w:spacing w:before="0" w:after="0"/>
              <w:rPr>
                <w:sz w:val="22"/>
                <w:szCs w:val="22"/>
              </w:rPr>
            </w:pPr>
            <w:r>
              <w:rPr>
                <w:rFonts w:ascii="MS Gothic" w:eastAsia="MS Gothic" w:hAnsi="MS Gothic" w:cs="MS Gothic"/>
                <w:sz w:val="22"/>
                <w:szCs w:val="22"/>
              </w:rPr>
              <w:t>☐</w:t>
            </w:r>
          </w:p>
        </w:tc>
        <w:tc>
          <w:tcPr>
            <w:tcW w:w="1276" w:type="dxa"/>
          </w:tcPr>
          <w:p w14:paraId="5DD16AA7" w14:textId="77777777" w:rsidR="00BB62F4" w:rsidRDefault="00000000">
            <w:pPr>
              <w:spacing w:before="0" w:after="0"/>
              <w:rPr>
                <w:sz w:val="22"/>
                <w:szCs w:val="22"/>
              </w:rPr>
            </w:pPr>
            <w:r>
              <w:rPr>
                <w:rFonts w:ascii="MS Gothic" w:eastAsia="MS Gothic" w:hAnsi="MS Gothic" w:cs="MS Gothic"/>
                <w:sz w:val="22"/>
                <w:szCs w:val="22"/>
              </w:rPr>
              <w:t>☐</w:t>
            </w:r>
          </w:p>
        </w:tc>
        <w:tc>
          <w:tcPr>
            <w:tcW w:w="1848" w:type="dxa"/>
          </w:tcPr>
          <w:p w14:paraId="45F56DAC" w14:textId="77777777" w:rsidR="00BB62F4" w:rsidRDefault="00000000">
            <w:pPr>
              <w:rPr>
                <w:sz w:val="22"/>
                <w:szCs w:val="22"/>
              </w:rPr>
            </w:pPr>
            <w:r>
              <w:rPr>
                <w:rFonts w:ascii="MS Gothic" w:eastAsia="MS Gothic" w:hAnsi="MS Gothic" w:cs="MS Gothic"/>
              </w:rPr>
              <w:t>☒</w:t>
            </w:r>
          </w:p>
        </w:tc>
        <w:tc>
          <w:tcPr>
            <w:tcW w:w="1671" w:type="dxa"/>
          </w:tcPr>
          <w:p w14:paraId="737D33A0" w14:textId="77777777" w:rsidR="00BB62F4" w:rsidRDefault="00000000">
            <w:pPr>
              <w:spacing w:before="0" w:after="0"/>
              <w:rPr>
                <w:sz w:val="22"/>
                <w:szCs w:val="22"/>
              </w:rPr>
            </w:pPr>
            <w:r>
              <w:rPr>
                <w:rFonts w:ascii="MS Gothic" w:eastAsia="MS Gothic" w:hAnsi="MS Gothic" w:cs="MS Gothic"/>
                <w:sz w:val="22"/>
                <w:szCs w:val="22"/>
              </w:rPr>
              <w:t>☐</w:t>
            </w:r>
          </w:p>
        </w:tc>
      </w:tr>
      <w:tr w:rsidR="00BB62F4" w14:paraId="6D9A214C" w14:textId="77777777">
        <w:trPr>
          <w:trHeight w:val="60"/>
        </w:trPr>
        <w:tc>
          <w:tcPr>
            <w:tcW w:w="1413" w:type="dxa"/>
          </w:tcPr>
          <w:p w14:paraId="1D7E6681" w14:textId="77777777" w:rsidR="00BB62F4" w:rsidRDefault="00000000">
            <w:pPr>
              <w:spacing w:before="0" w:after="0"/>
              <w:rPr>
                <w:sz w:val="22"/>
                <w:szCs w:val="22"/>
              </w:rPr>
            </w:pPr>
            <w:r>
              <w:rPr>
                <w:sz w:val="22"/>
                <w:szCs w:val="22"/>
              </w:rPr>
              <w:t>very poor (</w:t>
            </w:r>
            <w:r>
              <w:rPr>
                <w:sz w:val="22"/>
                <w:szCs w:val="22"/>
                <w:highlight w:val="black"/>
              </w:rPr>
              <w:t>0</w:t>
            </w:r>
            <w:r>
              <w:rPr>
                <w:sz w:val="22"/>
                <w:szCs w:val="22"/>
              </w:rPr>
              <w:t>)</w:t>
            </w:r>
          </w:p>
        </w:tc>
        <w:tc>
          <w:tcPr>
            <w:tcW w:w="1134" w:type="dxa"/>
          </w:tcPr>
          <w:p w14:paraId="152F228E" w14:textId="77777777" w:rsidR="00BB62F4" w:rsidRDefault="00000000">
            <w:pPr>
              <w:spacing w:before="0" w:after="0"/>
              <w:rPr>
                <w:sz w:val="22"/>
                <w:szCs w:val="22"/>
              </w:rPr>
            </w:pPr>
            <w:r>
              <w:rPr>
                <w:sz w:val="22"/>
                <w:szCs w:val="22"/>
              </w:rPr>
              <w:t>poor (</w:t>
            </w:r>
            <w:r>
              <w:rPr>
                <w:color w:val="FFFFFF"/>
                <w:sz w:val="22"/>
                <w:szCs w:val="22"/>
                <w:shd w:val="clear" w:color="auto" w:fill="FF3300"/>
              </w:rPr>
              <w:t>25</w:t>
            </w:r>
            <w:r>
              <w:rPr>
                <w:sz w:val="22"/>
                <w:szCs w:val="22"/>
              </w:rPr>
              <w:t>)</w:t>
            </w:r>
          </w:p>
        </w:tc>
        <w:tc>
          <w:tcPr>
            <w:tcW w:w="1417" w:type="dxa"/>
          </w:tcPr>
          <w:p w14:paraId="4C4D6432" w14:textId="77777777" w:rsidR="00BB62F4" w:rsidRDefault="00000000">
            <w:pPr>
              <w:spacing w:before="0" w:after="0"/>
              <w:rPr>
                <w:sz w:val="22"/>
                <w:szCs w:val="22"/>
              </w:rPr>
            </w:pPr>
            <w:r>
              <w:rPr>
                <w:sz w:val="22"/>
                <w:szCs w:val="22"/>
              </w:rPr>
              <w:t>limited (</w:t>
            </w:r>
            <w:r>
              <w:rPr>
                <w:sz w:val="22"/>
                <w:szCs w:val="22"/>
                <w:shd w:val="clear" w:color="auto" w:fill="FFC000"/>
              </w:rPr>
              <w:t>50</w:t>
            </w:r>
            <w:r>
              <w:rPr>
                <w:sz w:val="22"/>
                <w:szCs w:val="22"/>
              </w:rPr>
              <w:t>)</w:t>
            </w:r>
          </w:p>
        </w:tc>
        <w:tc>
          <w:tcPr>
            <w:tcW w:w="1276" w:type="dxa"/>
          </w:tcPr>
          <w:p w14:paraId="5009BE5C" w14:textId="77777777" w:rsidR="00BB62F4" w:rsidRDefault="00000000">
            <w:pPr>
              <w:spacing w:before="0" w:after="0"/>
              <w:rPr>
                <w:sz w:val="22"/>
                <w:szCs w:val="22"/>
              </w:rPr>
            </w:pPr>
            <w:r>
              <w:rPr>
                <w:sz w:val="22"/>
                <w:szCs w:val="22"/>
              </w:rPr>
              <w:t>good (</w:t>
            </w:r>
            <w:r>
              <w:rPr>
                <w:sz w:val="22"/>
                <w:szCs w:val="22"/>
                <w:shd w:val="clear" w:color="auto" w:fill="89AA2E"/>
              </w:rPr>
              <w:t>70</w:t>
            </w:r>
            <w:r>
              <w:rPr>
                <w:sz w:val="22"/>
                <w:szCs w:val="22"/>
              </w:rPr>
              <w:t>)</w:t>
            </w:r>
          </w:p>
        </w:tc>
        <w:tc>
          <w:tcPr>
            <w:tcW w:w="1848" w:type="dxa"/>
          </w:tcPr>
          <w:p w14:paraId="20D8B45A" w14:textId="77777777" w:rsidR="00BB62F4" w:rsidRDefault="00000000">
            <w:pPr>
              <w:spacing w:before="0" w:after="0"/>
              <w:rPr>
                <w:sz w:val="22"/>
                <w:szCs w:val="22"/>
              </w:rPr>
            </w:pPr>
            <w:r>
              <w:rPr>
                <w:sz w:val="22"/>
                <w:szCs w:val="22"/>
              </w:rPr>
              <w:t>very good (</w:t>
            </w:r>
            <w:r>
              <w:rPr>
                <w:color w:val="FFFFFF"/>
                <w:sz w:val="22"/>
                <w:szCs w:val="22"/>
                <w:shd w:val="clear" w:color="auto" w:fill="2B8636"/>
              </w:rPr>
              <w:t>90</w:t>
            </w:r>
            <w:r>
              <w:rPr>
                <w:sz w:val="22"/>
                <w:szCs w:val="22"/>
              </w:rPr>
              <w:t>)</w:t>
            </w:r>
          </w:p>
        </w:tc>
        <w:tc>
          <w:tcPr>
            <w:tcW w:w="1671" w:type="dxa"/>
          </w:tcPr>
          <w:p w14:paraId="348BADDF" w14:textId="77777777" w:rsidR="00BB62F4" w:rsidRDefault="00000000">
            <w:pPr>
              <w:spacing w:before="0" w:after="0"/>
              <w:rPr>
                <w:sz w:val="22"/>
                <w:szCs w:val="22"/>
              </w:rPr>
            </w:pPr>
            <w:r>
              <w:rPr>
                <w:sz w:val="22"/>
                <w:szCs w:val="22"/>
              </w:rPr>
              <w:t>leading (</w:t>
            </w:r>
            <w:r>
              <w:rPr>
                <w:sz w:val="22"/>
                <w:szCs w:val="22"/>
                <w:shd w:val="clear" w:color="auto" w:fill="00B0F0"/>
              </w:rPr>
              <w:t>100</w:t>
            </w:r>
            <w:r>
              <w:rPr>
                <w:sz w:val="22"/>
                <w:szCs w:val="22"/>
              </w:rPr>
              <w:t>)</w:t>
            </w:r>
          </w:p>
        </w:tc>
      </w:tr>
      <w:tr w:rsidR="00BB62F4" w14:paraId="3A9BF8C1" w14:textId="77777777">
        <w:trPr>
          <w:trHeight w:val="60"/>
        </w:trPr>
        <w:tc>
          <w:tcPr>
            <w:tcW w:w="1413" w:type="dxa"/>
          </w:tcPr>
          <w:p w14:paraId="4CFC3FEB" w14:textId="77777777" w:rsidR="00BB62F4" w:rsidRDefault="00BB62F4">
            <w:pPr>
              <w:spacing w:before="0" w:after="0"/>
              <w:rPr>
                <w:sz w:val="22"/>
                <w:szCs w:val="22"/>
              </w:rPr>
            </w:pPr>
          </w:p>
        </w:tc>
        <w:tc>
          <w:tcPr>
            <w:tcW w:w="1134" w:type="dxa"/>
          </w:tcPr>
          <w:p w14:paraId="042CF603" w14:textId="77777777" w:rsidR="00BB62F4" w:rsidRDefault="00BB62F4">
            <w:pPr>
              <w:spacing w:before="0" w:after="0"/>
              <w:rPr>
                <w:sz w:val="22"/>
                <w:szCs w:val="22"/>
              </w:rPr>
            </w:pPr>
          </w:p>
        </w:tc>
        <w:tc>
          <w:tcPr>
            <w:tcW w:w="1417" w:type="dxa"/>
          </w:tcPr>
          <w:p w14:paraId="4BE68A2F" w14:textId="77777777" w:rsidR="00BB62F4" w:rsidRDefault="00BB62F4">
            <w:pPr>
              <w:spacing w:before="0" w:after="0"/>
              <w:rPr>
                <w:sz w:val="22"/>
                <w:szCs w:val="22"/>
              </w:rPr>
            </w:pPr>
          </w:p>
        </w:tc>
        <w:tc>
          <w:tcPr>
            <w:tcW w:w="1276" w:type="dxa"/>
          </w:tcPr>
          <w:p w14:paraId="665016A5" w14:textId="77777777" w:rsidR="00BB62F4" w:rsidRDefault="00BB62F4">
            <w:pPr>
              <w:spacing w:before="0" w:after="0"/>
              <w:rPr>
                <w:sz w:val="22"/>
                <w:szCs w:val="22"/>
              </w:rPr>
            </w:pPr>
          </w:p>
        </w:tc>
        <w:tc>
          <w:tcPr>
            <w:tcW w:w="1848" w:type="dxa"/>
          </w:tcPr>
          <w:p w14:paraId="2981B586" w14:textId="77777777" w:rsidR="00BB62F4" w:rsidRDefault="00BB62F4">
            <w:pPr>
              <w:spacing w:before="0" w:after="0"/>
              <w:rPr>
                <w:sz w:val="22"/>
                <w:szCs w:val="22"/>
              </w:rPr>
            </w:pPr>
          </w:p>
        </w:tc>
        <w:tc>
          <w:tcPr>
            <w:tcW w:w="1671" w:type="dxa"/>
          </w:tcPr>
          <w:p w14:paraId="701D99A3" w14:textId="77777777" w:rsidR="00BB62F4" w:rsidRDefault="00BB62F4">
            <w:pPr>
              <w:spacing w:before="0" w:after="0"/>
              <w:rPr>
                <w:sz w:val="22"/>
                <w:szCs w:val="22"/>
              </w:rPr>
            </w:pPr>
          </w:p>
        </w:tc>
      </w:tr>
    </w:tbl>
    <w:p w14:paraId="0CA2C561" w14:textId="77777777" w:rsidR="00BB62F4" w:rsidRDefault="00000000">
      <w:pPr>
        <w:rPr>
          <w:b/>
          <w:bCs/>
          <w:sz w:val="22"/>
          <w:szCs w:val="22"/>
        </w:rPr>
      </w:pPr>
      <w:r>
        <w:rPr>
          <w:b/>
          <w:bCs/>
          <w:sz w:val="22"/>
          <w:szCs w:val="22"/>
        </w:rPr>
        <w:t xml:space="preserve">Or </w:t>
      </w:r>
    </w:p>
    <w:p w14:paraId="5B7AD5BB" w14:textId="77777777" w:rsidR="00BB62F4" w:rsidRDefault="00000000">
      <w:pPr>
        <w:pBdr>
          <w:top w:val="nil"/>
          <w:left w:val="nil"/>
          <w:bottom w:val="nil"/>
          <w:right w:val="nil"/>
          <w:between w:val="nil"/>
        </w:pBdr>
        <w:spacing w:line="276" w:lineRule="auto"/>
        <w:rPr>
          <w:color w:val="000000"/>
          <w:sz w:val="22"/>
          <w:szCs w:val="22"/>
        </w:rPr>
      </w:pPr>
      <w:r>
        <w:rPr>
          <w:rFonts w:ascii="MS Gothic" w:eastAsia="MS Gothic" w:hAnsi="MS Gothic" w:cs="MS Gothic"/>
          <w:color w:val="000000"/>
          <w:sz w:val="22"/>
          <w:szCs w:val="22"/>
        </w:rPr>
        <w:t>☐</w:t>
      </w:r>
      <w:r>
        <w:rPr>
          <w:color w:val="000000"/>
          <w:sz w:val="22"/>
          <w:szCs w:val="22"/>
        </w:rPr>
        <w:t xml:space="preserve"> not applicable</w:t>
      </w:r>
    </w:p>
    <w:p w14:paraId="12664951" w14:textId="77777777" w:rsidR="00BB62F4" w:rsidRDefault="00BB62F4">
      <w:pPr>
        <w:pBdr>
          <w:top w:val="nil"/>
          <w:left w:val="nil"/>
          <w:bottom w:val="nil"/>
          <w:right w:val="nil"/>
          <w:between w:val="nil"/>
        </w:pBdr>
        <w:spacing w:line="276" w:lineRule="auto"/>
        <w:rPr>
          <w:color w:val="000000"/>
          <w:sz w:val="22"/>
          <w:szCs w:val="22"/>
        </w:rPr>
      </w:pPr>
    </w:p>
    <w:tbl>
      <w:tblPr>
        <w:tblStyle w:val="aa"/>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BB62F4" w14:paraId="1304BDE0" w14:textId="77777777">
        <w:trPr>
          <w:trHeight w:val="700"/>
        </w:trPr>
        <w:tc>
          <w:tcPr>
            <w:tcW w:w="9067" w:type="dxa"/>
            <w:shd w:val="clear" w:color="auto" w:fill="D9E2F3"/>
          </w:tcPr>
          <w:p w14:paraId="79176EDB" w14:textId="77777777" w:rsidR="00BB62F4" w:rsidRDefault="00000000">
            <w:pPr>
              <w:pBdr>
                <w:top w:val="nil"/>
                <w:left w:val="nil"/>
                <w:bottom w:val="nil"/>
                <w:right w:val="nil"/>
                <w:between w:val="nil"/>
              </w:pBdr>
              <w:spacing w:line="276" w:lineRule="auto"/>
              <w:rPr>
                <w:color w:val="000000"/>
              </w:rPr>
            </w:pPr>
            <w:r>
              <w:rPr>
                <w:color w:val="000000"/>
              </w:rPr>
              <w:t>Explain</w:t>
            </w:r>
          </w:p>
        </w:tc>
      </w:tr>
    </w:tbl>
    <w:p w14:paraId="37F4E6A9" w14:textId="77777777" w:rsidR="00BB62F4" w:rsidRDefault="00000000">
      <w:pPr>
        <w:pStyle w:val="Heading2"/>
        <w:numPr>
          <w:ilvl w:val="0"/>
          <w:numId w:val="42"/>
        </w:numPr>
      </w:pPr>
      <w:bookmarkStart w:id="10" w:name="_heading=h.tcva8omrlv0y" w:colFirst="0" w:colLast="0"/>
      <w:bookmarkEnd w:id="10"/>
      <w:r>
        <w:lastRenderedPageBreak/>
        <w:t>International Secretariat feedback</w:t>
      </w:r>
    </w:p>
    <w:tbl>
      <w:tblPr>
        <w:tblStyle w:val="a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0AFB57B6" w14:textId="77777777">
        <w:tc>
          <w:tcPr>
            <w:tcW w:w="9062" w:type="dxa"/>
            <w:tcBorders>
              <w:top w:val="nil"/>
              <w:left w:val="nil"/>
              <w:bottom w:val="nil"/>
              <w:right w:val="nil"/>
            </w:tcBorders>
            <w:shd w:val="clear" w:color="auto" w:fill="F2F2F2"/>
          </w:tcPr>
          <w:p w14:paraId="4941A248" w14:textId="77777777" w:rsidR="00BB62F4" w:rsidRDefault="00000000">
            <w:pPr>
              <w:rPr>
                <w:i/>
                <w:iCs/>
              </w:rPr>
            </w:pPr>
            <w:r>
              <w:rPr>
                <w:i/>
                <w:iCs/>
              </w:rPr>
              <w:t>To be filled in by the International Secretariat</w:t>
            </w:r>
          </w:p>
          <w:p w14:paraId="75FB8988" w14:textId="77777777" w:rsidR="00BB62F4" w:rsidRDefault="00000000">
            <w:pPr>
              <w:rPr>
                <w:i/>
                <w:iCs/>
              </w:rPr>
            </w:pPr>
            <w:r>
              <w:rPr>
                <w:i/>
                <w:iCs/>
              </w:rPr>
              <w:t xml:space="preserve">Observations of comprehensiveness of addressing the aspects, any gaps identified and further clarification needed.  </w:t>
            </w:r>
          </w:p>
          <w:p w14:paraId="4DD81D64" w14:textId="77777777" w:rsidR="00BB62F4" w:rsidRDefault="00BB62F4">
            <w:pPr>
              <w:rPr>
                <w:i/>
                <w:iCs/>
              </w:rPr>
            </w:pPr>
          </w:p>
          <w:tbl>
            <w:tblPr>
              <w:tblStyle w:val="ac"/>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BB62F4" w14:paraId="1CD810AF" w14:textId="77777777">
              <w:tc>
                <w:tcPr>
                  <w:tcW w:w="3009" w:type="dxa"/>
                </w:tcPr>
                <w:p w14:paraId="76EC703F" w14:textId="77777777" w:rsidR="00BB62F4" w:rsidRDefault="00000000">
                  <w:r>
                    <w:t>2.2.a Contract and license allocations</w:t>
                  </w:r>
                </w:p>
                <w:p w14:paraId="679B28CE" w14:textId="77777777" w:rsidR="00BB62F4" w:rsidRDefault="00000000">
                  <w:pPr>
                    <w:rPr>
                      <w:i/>
                      <w:iCs/>
                    </w:rPr>
                  </w:pPr>
                  <w:r>
                    <w:rPr>
                      <w:i/>
                      <w:iCs/>
                    </w:rPr>
                    <w:t>Required</w:t>
                  </w:r>
                </w:p>
              </w:tc>
              <w:tc>
                <w:tcPr>
                  <w:tcW w:w="5827" w:type="dxa"/>
                </w:tcPr>
                <w:p w14:paraId="467953DB" w14:textId="77777777" w:rsidR="00BB62F4" w:rsidRDefault="00000000">
                  <w:pPr>
                    <w:numPr>
                      <w:ilvl w:val="0"/>
                      <w:numId w:val="11"/>
                    </w:numPr>
                    <w:pBdr>
                      <w:top w:val="nil"/>
                      <w:left w:val="nil"/>
                      <w:bottom w:val="nil"/>
                      <w:right w:val="nil"/>
                      <w:between w:val="nil"/>
                    </w:pBdr>
                    <w:rPr>
                      <w:i/>
                      <w:iCs/>
                      <w:color w:val="000000"/>
                    </w:rPr>
                  </w:pPr>
                  <w:r>
                    <w:rPr>
                      <w:i/>
                      <w:iCs/>
                      <w:color w:val="000000"/>
                    </w:rPr>
                    <w:t xml:space="preserve">Process for license and contracts </w:t>
                  </w:r>
                  <w:r>
                    <w:rPr>
                      <w:b/>
                      <w:bCs/>
                      <w:i/>
                      <w:iCs/>
                      <w:color w:val="000000"/>
                    </w:rPr>
                    <w:t>awards</w:t>
                  </w:r>
                  <w:r>
                    <w:rPr>
                      <w:i/>
                      <w:iCs/>
                      <w:color w:val="000000"/>
                    </w:rPr>
                    <w:t xml:space="preserve"> (2.1.a.i-ii)</w:t>
                  </w:r>
                </w:p>
                <w:p w14:paraId="3792DD6A" w14:textId="77777777" w:rsidR="00BB62F4" w:rsidRDefault="00000000">
                  <w:pPr>
                    <w:numPr>
                      <w:ilvl w:val="0"/>
                      <w:numId w:val="11"/>
                    </w:numPr>
                    <w:pBdr>
                      <w:top w:val="nil"/>
                      <w:left w:val="nil"/>
                      <w:bottom w:val="nil"/>
                      <w:right w:val="nil"/>
                      <w:between w:val="nil"/>
                    </w:pBdr>
                    <w:rPr>
                      <w:i/>
                      <w:iCs/>
                      <w:color w:val="000000"/>
                    </w:rPr>
                  </w:pPr>
                  <w:r>
                    <w:rPr>
                      <w:i/>
                      <w:iCs/>
                      <w:color w:val="000000"/>
                    </w:rPr>
                    <w:t>Identity of license award recipients (2.1.a.iii)</w:t>
                  </w:r>
                </w:p>
                <w:p w14:paraId="1844F1B8" w14:textId="77777777" w:rsidR="00BB62F4" w:rsidRDefault="00000000">
                  <w:pPr>
                    <w:numPr>
                      <w:ilvl w:val="0"/>
                      <w:numId w:val="11"/>
                    </w:numPr>
                    <w:pBdr>
                      <w:top w:val="nil"/>
                      <w:left w:val="nil"/>
                      <w:bottom w:val="nil"/>
                      <w:right w:val="nil"/>
                      <w:between w:val="nil"/>
                    </w:pBdr>
                    <w:rPr>
                      <w:i/>
                      <w:iCs/>
                      <w:color w:val="000000"/>
                    </w:rPr>
                  </w:pPr>
                  <w:r>
                    <w:rPr>
                      <w:i/>
                      <w:iCs/>
                      <w:color w:val="000000"/>
                    </w:rPr>
                    <w:t>Process of transfer of licenses (2.2.a.i-ii)</w:t>
                  </w:r>
                </w:p>
                <w:p w14:paraId="27F9DAE4" w14:textId="77777777" w:rsidR="00BB62F4" w:rsidRDefault="00000000">
                  <w:pPr>
                    <w:numPr>
                      <w:ilvl w:val="0"/>
                      <w:numId w:val="11"/>
                    </w:numPr>
                    <w:pBdr>
                      <w:top w:val="nil"/>
                      <w:left w:val="nil"/>
                      <w:bottom w:val="nil"/>
                      <w:right w:val="nil"/>
                      <w:between w:val="nil"/>
                    </w:pBdr>
                    <w:rPr>
                      <w:i/>
                      <w:iCs/>
                      <w:color w:val="000000"/>
                    </w:rPr>
                  </w:pPr>
                  <w:r>
                    <w:rPr>
                      <w:i/>
                      <w:iCs/>
                      <w:color w:val="000000"/>
                    </w:rPr>
                    <w:t>Identity of license or contract transferees (2.1.a.iii)</w:t>
                  </w:r>
                </w:p>
                <w:p w14:paraId="374F1566" w14:textId="77777777" w:rsidR="00BB62F4" w:rsidRDefault="00000000">
                  <w:pPr>
                    <w:numPr>
                      <w:ilvl w:val="0"/>
                      <w:numId w:val="11"/>
                    </w:numPr>
                    <w:pBdr>
                      <w:top w:val="nil"/>
                      <w:left w:val="nil"/>
                      <w:bottom w:val="nil"/>
                      <w:right w:val="nil"/>
                      <w:between w:val="nil"/>
                    </w:pBdr>
                    <w:rPr>
                      <w:i/>
                      <w:iCs/>
                      <w:color w:val="000000"/>
                    </w:rPr>
                  </w:pPr>
                  <w:r>
                    <w:rPr>
                      <w:i/>
                      <w:iCs/>
                      <w:color w:val="000000"/>
                    </w:rPr>
                    <w:t>Deviations (2.2.a.iv)</w:t>
                  </w:r>
                </w:p>
                <w:p w14:paraId="6FF4C936" w14:textId="77777777" w:rsidR="00BB62F4" w:rsidRDefault="00000000">
                  <w:pPr>
                    <w:numPr>
                      <w:ilvl w:val="0"/>
                      <w:numId w:val="11"/>
                    </w:numPr>
                    <w:pBdr>
                      <w:top w:val="nil"/>
                      <w:left w:val="nil"/>
                      <w:bottom w:val="nil"/>
                      <w:right w:val="nil"/>
                      <w:between w:val="nil"/>
                    </w:pBdr>
                    <w:rPr>
                      <w:i/>
                      <w:iCs/>
                      <w:color w:val="000000"/>
                    </w:rPr>
                  </w:pPr>
                  <w:r>
                    <w:rPr>
                      <w:i/>
                      <w:iCs/>
                      <w:color w:val="000000"/>
                    </w:rPr>
                    <w:t>Assessment on comprehensiveness, reliability and timeliness of information</w:t>
                  </w:r>
                </w:p>
              </w:tc>
            </w:tr>
            <w:tr w:rsidR="00BB62F4" w14:paraId="25205A92" w14:textId="77777777">
              <w:tc>
                <w:tcPr>
                  <w:tcW w:w="3009" w:type="dxa"/>
                </w:tcPr>
                <w:p w14:paraId="2804CAFD" w14:textId="77777777" w:rsidR="00BB62F4" w:rsidRDefault="00000000">
                  <w:r>
                    <w:t xml:space="preserve">2.2.b Licenses allocated prior to period covered by EITI implementation </w:t>
                  </w:r>
                </w:p>
                <w:p w14:paraId="5AEC1557" w14:textId="77777777" w:rsidR="00BB62F4" w:rsidRDefault="00000000">
                  <w:pPr>
                    <w:rPr>
                      <w:i/>
                      <w:iCs/>
                    </w:rPr>
                  </w:pPr>
                  <w:r>
                    <w:rPr>
                      <w:i/>
                      <w:iCs/>
                    </w:rPr>
                    <w:t>Encouraged</w:t>
                  </w:r>
                </w:p>
              </w:tc>
              <w:tc>
                <w:tcPr>
                  <w:tcW w:w="5827" w:type="dxa"/>
                </w:tcPr>
                <w:p w14:paraId="2DFB84BF" w14:textId="77777777" w:rsidR="00BB62F4" w:rsidRDefault="00BB62F4">
                  <w:pPr>
                    <w:rPr>
                      <w:i/>
                      <w:iCs/>
                    </w:rPr>
                  </w:pPr>
                </w:p>
              </w:tc>
            </w:tr>
            <w:tr w:rsidR="00BB62F4" w14:paraId="3D8E562C" w14:textId="77777777">
              <w:trPr>
                <w:trHeight w:val="300"/>
              </w:trPr>
              <w:tc>
                <w:tcPr>
                  <w:tcW w:w="3009" w:type="dxa"/>
                </w:tcPr>
                <w:p w14:paraId="653F5BF1" w14:textId="77777777" w:rsidR="00BB62F4" w:rsidRDefault="00000000">
                  <w:r>
                    <w:t>2.2.c Licenses awarded through a bidding process</w:t>
                  </w:r>
                </w:p>
                <w:p w14:paraId="4AB722A3" w14:textId="77777777" w:rsidR="00BB62F4" w:rsidRDefault="00000000">
                  <w:r>
                    <w:rPr>
                      <w:i/>
                      <w:iCs/>
                    </w:rPr>
                    <w:t>Required if applicable</w:t>
                  </w:r>
                </w:p>
              </w:tc>
              <w:tc>
                <w:tcPr>
                  <w:tcW w:w="5827" w:type="dxa"/>
                </w:tcPr>
                <w:p w14:paraId="6EB8AB3E" w14:textId="77777777" w:rsidR="00BB62F4" w:rsidRDefault="00BB62F4">
                  <w:pPr>
                    <w:rPr>
                      <w:i/>
                      <w:iCs/>
                    </w:rPr>
                  </w:pPr>
                </w:p>
              </w:tc>
            </w:tr>
            <w:tr w:rsidR="00BB62F4" w14:paraId="76FF82A5" w14:textId="77777777">
              <w:trPr>
                <w:trHeight w:val="300"/>
              </w:trPr>
              <w:tc>
                <w:tcPr>
                  <w:tcW w:w="3009" w:type="dxa"/>
                </w:tcPr>
                <w:p w14:paraId="188C9826" w14:textId="77777777" w:rsidR="00BB62F4" w:rsidRDefault="00000000">
                  <w:r>
                    <w:t>2.2.d Additional information on the allocation of licenses</w:t>
                  </w:r>
                </w:p>
                <w:p w14:paraId="64B5AC30" w14:textId="77777777" w:rsidR="00BB62F4" w:rsidRDefault="00000000">
                  <w:pPr>
                    <w:rPr>
                      <w:i/>
                      <w:iCs/>
                    </w:rPr>
                  </w:pPr>
                  <w:r>
                    <w:rPr>
                      <w:i/>
                      <w:iCs/>
                    </w:rPr>
                    <w:t>Encouraged</w:t>
                  </w:r>
                </w:p>
              </w:tc>
              <w:tc>
                <w:tcPr>
                  <w:tcW w:w="5827" w:type="dxa"/>
                </w:tcPr>
                <w:p w14:paraId="289BAB18" w14:textId="77777777" w:rsidR="00BB62F4" w:rsidRDefault="00BB62F4">
                  <w:pPr>
                    <w:rPr>
                      <w:i/>
                      <w:iCs/>
                    </w:rPr>
                  </w:pPr>
                </w:p>
              </w:tc>
            </w:tr>
            <w:tr w:rsidR="00BB62F4" w14:paraId="6F7052E9" w14:textId="77777777">
              <w:tc>
                <w:tcPr>
                  <w:tcW w:w="3009" w:type="dxa"/>
                </w:tcPr>
                <w:p w14:paraId="4343E65B" w14:textId="77777777" w:rsidR="00BB62F4" w:rsidRDefault="00000000">
                  <w:r>
                    <w:t>Underlying objective</w:t>
                  </w:r>
                </w:p>
              </w:tc>
              <w:tc>
                <w:tcPr>
                  <w:tcW w:w="5827" w:type="dxa"/>
                </w:tcPr>
                <w:p w14:paraId="1EE918FD" w14:textId="77777777" w:rsidR="00BB62F4" w:rsidRDefault="00BB62F4">
                  <w:pPr>
                    <w:rPr>
                      <w:i/>
                      <w:iCs/>
                    </w:rPr>
                  </w:pPr>
                </w:p>
              </w:tc>
            </w:tr>
            <w:tr w:rsidR="00BB62F4" w14:paraId="5DD9C7B6" w14:textId="77777777">
              <w:tc>
                <w:tcPr>
                  <w:tcW w:w="3009" w:type="dxa"/>
                </w:tcPr>
                <w:p w14:paraId="4329ACE8" w14:textId="77777777" w:rsidR="00BB62F4" w:rsidRDefault="00000000">
                  <w:r>
                    <w:t>Relevance of data when linked to ongoing issues/reforms in the country</w:t>
                  </w:r>
                </w:p>
              </w:tc>
              <w:tc>
                <w:tcPr>
                  <w:tcW w:w="5827" w:type="dxa"/>
                </w:tcPr>
                <w:p w14:paraId="30DB084A" w14:textId="77777777" w:rsidR="00BB62F4" w:rsidRDefault="00BB62F4">
                  <w:pPr>
                    <w:rPr>
                      <w:i/>
                      <w:iCs/>
                    </w:rPr>
                  </w:pPr>
                </w:p>
              </w:tc>
            </w:tr>
            <w:tr w:rsidR="00BB62F4" w14:paraId="3C8EE130" w14:textId="77777777">
              <w:tc>
                <w:tcPr>
                  <w:tcW w:w="3009" w:type="dxa"/>
                </w:tcPr>
                <w:p w14:paraId="06CF803D" w14:textId="77777777" w:rsidR="00BB62F4" w:rsidRDefault="00000000">
                  <w:r>
                    <w:t>Any other observations</w:t>
                  </w:r>
                </w:p>
              </w:tc>
              <w:tc>
                <w:tcPr>
                  <w:tcW w:w="5827" w:type="dxa"/>
                </w:tcPr>
                <w:p w14:paraId="617765F2" w14:textId="77777777" w:rsidR="00BB62F4" w:rsidRDefault="00BB62F4">
                  <w:pPr>
                    <w:rPr>
                      <w:i/>
                      <w:iCs/>
                    </w:rPr>
                  </w:pPr>
                </w:p>
              </w:tc>
            </w:tr>
            <w:tr w:rsidR="00BB62F4" w14:paraId="36E61F40" w14:textId="77777777">
              <w:tc>
                <w:tcPr>
                  <w:tcW w:w="3009" w:type="dxa"/>
                </w:tcPr>
                <w:p w14:paraId="5061B3F8" w14:textId="77777777" w:rsidR="00BB62F4" w:rsidRDefault="00000000">
                  <w:r>
                    <w:t>On availability of systematic disclosures</w:t>
                  </w:r>
                </w:p>
              </w:tc>
              <w:tc>
                <w:tcPr>
                  <w:tcW w:w="5827" w:type="dxa"/>
                </w:tcPr>
                <w:p w14:paraId="4F422083" w14:textId="77777777" w:rsidR="00BB62F4" w:rsidRDefault="00BB62F4">
                  <w:pPr>
                    <w:rPr>
                      <w:i/>
                      <w:iCs/>
                    </w:rPr>
                  </w:pPr>
                </w:p>
              </w:tc>
            </w:tr>
            <w:tr w:rsidR="00BB62F4" w14:paraId="19F7AF18" w14:textId="77777777">
              <w:tc>
                <w:tcPr>
                  <w:tcW w:w="3009" w:type="dxa"/>
                </w:tcPr>
                <w:p w14:paraId="3549B60A" w14:textId="77777777" w:rsidR="00BB62F4" w:rsidRDefault="00000000">
                  <w:r>
                    <w:t>On the timeliness of disclosures</w:t>
                  </w:r>
                </w:p>
              </w:tc>
              <w:tc>
                <w:tcPr>
                  <w:tcW w:w="5827" w:type="dxa"/>
                </w:tcPr>
                <w:p w14:paraId="67D964AA" w14:textId="77777777" w:rsidR="00BB62F4" w:rsidRDefault="00BB62F4">
                  <w:pPr>
                    <w:rPr>
                      <w:i/>
                      <w:iCs/>
                    </w:rPr>
                  </w:pPr>
                </w:p>
              </w:tc>
            </w:tr>
            <w:tr w:rsidR="00BB62F4" w14:paraId="6BDD5DDD" w14:textId="77777777">
              <w:tc>
                <w:tcPr>
                  <w:tcW w:w="3009" w:type="dxa"/>
                </w:tcPr>
                <w:p w14:paraId="4E04DD52" w14:textId="77777777" w:rsidR="00BB62F4" w:rsidRDefault="00000000">
                  <w:r>
                    <w:t>On open format of disclosures</w:t>
                  </w:r>
                </w:p>
              </w:tc>
              <w:tc>
                <w:tcPr>
                  <w:tcW w:w="5827" w:type="dxa"/>
                </w:tcPr>
                <w:p w14:paraId="2BAB7612" w14:textId="77777777" w:rsidR="00BB62F4" w:rsidRDefault="00BB62F4">
                  <w:pPr>
                    <w:rPr>
                      <w:i/>
                      <w:iCs/>
                    </w:rPr>
                  </w:pPr>
                </w:p>
              </w:tc>
            </w:tr>
            <w:tr w:rsidR="00BB62F4" w14:paraId="7FC9A580" w14:textId="77777777">
              <w:tc>
                <w:tcPr>
                  <w:tcW w:w="3009" w:type="dxa"/>
                </w:tcPr>
                <w:p w14:paraId="2666D282" w14:textId="77777777" w:rsidR="00BB62F4" w:rsidRDefault="00000000">
                  <w:r>
                    <w:t>On the use of data</w:t>
                  </w:r>
                </w:p>
              </w:tc>
              <w:tc>
                <w:tcPr>
                  <w:tcW w:w="5827" w:type="dxa"/>
                </w:tcPr>
                <w:p w14:paraId="51A69C5E" w14:textId="77777777" w:rsidR="00BB62F4" w:rsidRDefault="00BB62F4">
                  <w:pPr>
                    <w:rPr>
                      <w:i/>
                      <w:iCs/>
                    </w:rPr>
                  </w:pPr>
                </w:p>
              </w:tc>
            </w:tr>
          </w:tbl>
          <w:p w14:paraId="75DF1A28" w14:textId="77777777" w:rsidR="00BB62F4" w:rsidRDefault="00BB62F4">
            <w:pPr>
              <w:rPr>
                <w:i/>
                <w:iCs/>
              </w:rPr>
            </w:pPr>
          </w:p>
        </w:tc>
      </w:tr>
      <w:tr w:rsidR="00BB62F4" w14:paraId="7FE394DE" w14:textId="77777777">
        <w:tc>
          <w:tcPr>
            <w:tcW w:w="9062" w:type="dxa"/>
            <w:tcBorders>
              <w:top w:val="nil"/>
              <w:left w:val="nil"/>
              <w:bottom w:val="nil"/>
              <w:right w:val="nil"/>
            </w:tcBorders>
            <w:shd w:val="clear" w:color="auto" w:fill="F2F2F2"/>
          </w:tcPr>
          <w:p w14:paraId="6760993D" w14:textId="77777777" w:rsidR="00BB62F4" w:rsidRDefault="00BB62F4">
            <w:pPr>
              <w:rPr>
                <w:i/>
                <w:iCs/>
              </w:rPr>
            </w:pPr>
          </w:p>
        </w:tc>
      </w:tr>
    </w:tbl>
    <w:p w14:paraId="58D31570" w14:textId="77777777" w:rsidR="00BB62F4" w:rsidRDefault="00BB62F4">
      <w:pPr>
        <w:spacing w:before="0" w:after="0"/>
      </w:pPr>
    </w:p>
    <w:p w14:paraId="34EA4F37" w14:textId="77777777" w:rsidR="00BB62F4" w:rsidRDefault="00000000">
      <w:pPr>
        <w:rPr>
          <w:rFonts w:ascii="Libre Franklin Medium" w:eastAsia="Libre Franklin Medium" w:hAnsi="Libre Franklin Medium" w:cs="Libre Franklin Medium"/>
          <w:color w:val="1A4066"/>
          <w:sz w:val="36"/>
          <w:szCs w:val="36"/>
        </w:rPr>
      </w:pPr>
      <w:r>
        <w:lastRenderedPageBreak/>
        <w:br w:type="page"/>
      </w:r>
    </w:p>
    <w:p w14:paraId="1BEDCF8B" w14:textId="77777777" w:rsidR="00BB62F4" w:rsidRDefault="00000000">
      <w:pPr>
        <w:pStyle w:val="Heading1"/>
      </w:pPr>
      <w:bookmarkStart w:id="11" w:name="_heading=h.pvk6akvx1wm5" w:colFirst="0" w:colLast="0"/>
      <w:bookmarkEnd w:id="11"/>
      <w:r>
        <w:lastRenderedPageBreak/>
        <w:t>Requirement 2.3: Register of licenses</w:t>
      </w:r>
    </w:p>
    <w:p w14:paraId="0D3FC3D1" w14:textId="77777777" w:rsidR="00BB62F4" w:rsidRDefault="00000000">
      <w:pPr>
        <w:pStyle w:val="Heading2"/>
        <w:numPr>
          <w:ilvl w:val="0"/>
          <w:numId w:val="5"/>
        </w:numPr>
      </w:pPr>
      <w:bookmarkStart w:id="12" w:name="_heading=h.piws442rejsx" w:colFirst="0" w:colLast="0"/>
      <w:bookmarkEnd w:id="12"/>
      <w:r>
        <w:t>Resources</w:t>
      </w:r>
    </w:p>
    <w:tbl>
      <w:tblPr>
        <w:tblStyle w:val="ad"/>
        <w:tblW w:w="85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42"/>
      </w:tblGrid>
      <w:tr w:rsidR="00BB62F4" w14:paraId="2EE66264" w14:textId="77777777">
        <w:trPr>
          <w:trHeight w:val="598"/>
        </w:trPr>
        <w:tc>
          <w:tcPr>
            <w:tcW w:w="8542" w:type="dxa"/>
            <w:tcBorders>
              <w:top w:val="nil"/>
              <w:left w:val="nil"/>
              <w:bottom w:val="nil"/>
              <w:right w:val="nil"/>
            </w:tcBorders>
            <w:shd w:val="clear" w:color="auto" w:fill="EDF1F9"/>
          </w:tcPr>
          <w:p w14:paraId="6247E4DE" w14:textId="77777777" w:rsidR="00BB62F4" w:rsidRDefault="00000000">
            <w:bookmarkStart w:id="13" w:name="_heading=h.xadnqknaf9ei" w:colFirst="0" w:colLast="0"/>
            <w:bookmarkEnd w:id="13"/>
            <w:r>
              <w:t>Resources</w:t>
            </w:r>
            <w:r>
              <w:rPr>
                <w:b/>
                <w:bCs/>
              </w:rPr>
              <w:t xml:space="preserve">: </w:t>
            </w:r>
            <w:hyperlink r:id="rId109" w:anchor="_3-register-of-licenses--17289">
              <w:r>
                <w:rPr>
                  <w:color w:val="0000FF"/>
                  <w:u w:val="single"/>
                </w:rPr>
                <w:t>Requirement in full</w:t>
              </w:r>
            </w:hyperlink>
            <w:r>
              <w:t xml:space="preserve">, </w:t>
            </w:r>
            <w:hyperlink r:id="rId110" w:anchor="requirement-23-license-register-18985">
              <w:r>
                <w:rPr>
                  <w:color w:val="0000FF"/>
                  <w:u w:val="single"/>
                </w:rPr>
                <w:t>Validation guide</w:t>
              </w:r>
            </w:hyperlink>
          </w:p>
          <w:p w14:paraId="7B23FE79" w14:textId="77777777" w:rsidR="00BB62F4" w:rsidRDefault="00000000">
            <w:r>
              <w:t xml:space="preserve">Relevant guidance notes: </w:t>
            </w:r>
            <w:hyperlink r:id="rId111">
              <w:r>
                <w:rPr>
                  <w:color w:val="0000FF"/>
                  <w:u w:val="single"/>
                </w:rPr>
                <w:t>Register of licenses</w:t>
              </w:r>
            </w:hyperlink>
          </w:p>
        </w:tc>
      </w:tr>
    </w:tbl>
    <w:p w14:paraId="575968AC" w14:textId="77777777" w:rsidR="00BB62F4" w:rsidRDefault="00000000">
      <w:pPr>
        <w:pStyle w:val="Heading2"/>
        <w:numPr>
          <w:ilvl w:val="0"/>
          <w:numId w:val="5"/>
        </w:numPr>
      </w:pPr>
      <w:bookmarkStart w:id="14" w:name="_heading=h.isnq408c775i" w:colFirst="0" w:colLast="0"/>
      <w:bookmarkEnd w:id="14"/>
      <w:r>
        <w:t xml:space="preserve">Corrective actions / recommendations from previous Validation </w:t>
      </w:r>
    </w:p>
    <w:p w14:paraId="1C11803A" w14:textId="77777777" w:rsidR="00BB62F4" w:rsidRDefault="00000000">
      <w:pPr>
        <w:pBdr>
          <w:top w:val="nil"/>
          <w:left w:val="nil"/>
          <w:bottom w:val="nil"/>
          <w:right w:val="nil"/>
          <w:between w:val="nil"/>
        </w:pBdr>
        <w:spacing w:before="0" w:after="0" w:line="276" w:lineRule="auto"/>
        <w:rPr>
          <w:color w:val="595959"/>
        </w:rPr>
      </w:pPr>
      <w:r>
        <w:rPr>
          <w:rFonts w:ascii="MS Gothic" w:eastAsia="MS Gothic" w:hAnsi="MS Gothic" w:cs="MS Gothic"/>
          <w:color w:val="595959"/>
        </w:rPr>
        <w:t>ⓘ</w:t>
      </w:r>
      <w:r>
        <w:rPr>
          <w:color w:val="595959"/>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14:paraId="66710091" w14:textId="77777777" w:rsidR="00BB62F4" w:rsidRDefault="00BB62F4">
      <w:pPr>
        <w:pBdr>
          <w:top w:val="nil"/>
          <w:left w:val="nil"/>
          <w:bottom w:val="nil"/>
          <w:right w:val="nil"/>
          <w:between w:val="nil"/>
        </w:pBdr>
        <w:spacing w:before="0" w:after="0" w:line="276" w:lineRule="auto"/>
        <w:rPr>
          <w:color w:val="595959"/>
        </w:rPr>
      </w:pPr>
    </w:p>
    <w:tbl>
      <w:tblPr>
        <w:tblStyle w:val="a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79396289" w14:textId="77777777">
        <w:tc>
          <w:tcPr>
            <w:tcW w:w="9062" w:type="dxa"/>
            <w:tcBorders>
              <w:top w:val="nil"/>
              <w:left w:val="nil"/>
              <w:bottom w:val="nil"/>
              <w:right w:val="nil"/>
            </w:tcBorders>
            <w:shd w:val="clear" w:color="auto" w:fill="F2F2F2"/>
          </w:tcPr>
          <w:p w14:paraId="182FB02B" w14:textId="77777777" w:rsidR="00BB62F4" w:rsidRDefault="00000000">
            <w:r>
              <w:t>Insert recommendation and or corrective action from previous Validation or targeted assessment, if applicable. Indicate the status of addressing the corrective actions, if applicable. If this is a first Validation, this section can be left blank.</w:t>
            </w:r>
          </w:p>
          <w:p w14:paraId="78860DE7" w14:textId="77777777" w:rsidR="00BB62F4" w:rsidRDefault="00BB62F4">
            <w:pPr>
              <w:rPr>
                <w:i/>
                <w:iCs/>
              </w:rPr>
            </w:pPr>
          </w:p>
          <w:p w14:paraId="49D03E2B"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sz w:val="24"/>
                <w:szCs w:val="24"/>
              </w:rPr>
              <w:t>Requirement 2.3: Corrective Action</w:t>
            </w:r>
          </w:p>
          <w:p w14:paraId="54EDDD26"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sz w:val="24"/>
                <w:szCs w:val="24"/>
              </w:rPr>
              <w:t>Nigeria is required to ensure that dates of application and license coordinates of each extractive license and contract are publicly accessible for each active license and contract in the oil and gas sector</w:t>
            </w:r>
          </w:p>
          <w:p w14:paraId="4449D95D" w14:textId="77777777" w:rsidR="00BB62F4" w:rsidRDefault="00000000">
            <w:r>
              <w:t>Status,</w:t>
            </w:r>
          </w:p>
          <w:p w14:paraId="6024A777" w14:textId="77777777" w:rsidR="00BB62F4" w:rsidRDefault="00000000">
            <w:r>
              <w:t>In Progress, bilateral discussions are currently ongoing between NEITI and NUPRC to ensure that license co-ordinates are publicly accessible.</w:t>
            </w:r>
          </w:p>
        </w:tc>
      </w:tr>
    </w:tbl>
    <w:p w14:paraId="29860799" w14:textId="77777777" w:rsidR="00BB62F4" w:rsidRDefault="00000000">
      <w:pPr>
        <w:pStyle w:val="Heading2"/>
        <w:numPr>
          <w:ilvl w:val="0"/>
          <w:numId w:val="5"/>
        </w:numPr>
      </w:pPr>
      <w:bookmarkStart w:id="15" w:name="_heading=h.pafjodn65aer" w:colFirst="0" w:colLast="0"/>
      <w:bookmarkEnd w:id="15"/>
      <w:r>
        <w:t>Self-assessment</w:t>
      </w:r>
    </w:p>
    <w:p w14:paraId="15DE4CBB" w14:textId="77777777" w:rsidR="00BB62F4" w:rsidRDefault="00000000">
      <w:pPr>
        <w:pBdr>
          <w:top w:val="nil"/>
          <w:left w:val="nil"/>
          <w:bottom w:val="nil"/>
          <w:right w:val="nil"/>
          <w:between w:val="nil"/>
        </w:pBdr>
        <w:spacing w:before="0" w:after="0" w:line="276" w:lineRule="auto"/>
        <w:rPr>
          <w:color w:val="595959"/>
        </w:rPr>
      </w:pPr>
      <w:r>
        <w:rPr>
          <w:rFonts w:ascii="MS Mincho" w:eastAsia="MS Mincho" w:hAnsi="MS Mincho" w:cs="MS Mincho"/>
          <w:color w:val="595959"/>
        </w:rPr>
        <w:t>ⓘ</w:t>
      </w:r>
      <w:r>
        <w:rPr>
          <w:color w:val="595959"/>
        </w:rPr>
        <w:t xml:space="preserve"> The self-assessment allows the MSG to understand the aspects of the requirement and estimate its progress towards meeting it.</w:t>
      </w:r>
      <w:r>
        <w:rPr>
          <w:color w:val="595959"/>
          <w:sz w:val="18"/>
          <w:szCs w:val="18"/>
        </w:rPr>
        <w:t xml:space="preserve"> </w:t>
      </w:r>
      <w:r>
        <w:rPr>
          <w:color w:val="595959"/>
        </w:rPr>
        <w:t xml:space="preserve">Diverging views within the constituency or between constituencies can be documented in the form. </w:t>
      </w:r>
    </w:p>
    <w:p w14:paraId="0C3254BD" w14:textId="77777777" w:rsidR="00BB62F4" w:rsidRDefault="00BB62F4">
      <w:pPr>
        <w:pBdr>
          <w:top w:val="nil"/>
          <w:left w:val="nil"/>
          <w:bottom w:val="nil"/>
          <w:right w:val="nil"/>
          <w:between w:val="nil"/>
        </w:pBdr>
        <w:spacing w:before="0" w:after="0" w:line="276" w:lineRule="auto"/>
        <w:rPr>
          <w:i/>
          <w:iCs/>
          <w:color w:val="595959"/>
          <w:sz w:val="18"/>
          <w:szCs w:val="18"/>
        </w:rPr>
      </w:pPr>
    </w:p>
    <w:p w14:paraId="01E98FFC" w14:textId="77777777" w:rsidR="00BB62F4" w:rsidRDefault="00000000">
      <w:pPr>
        <w:pStyle w:val="Heading3"/>
      </w:pPr>
      <w:bookmarkStart w:id="16" w:name="_heading=h.sbrjfmotey" w:colFirst="0" w:colLast="0"/>
      <w:bookmarkEnd w:id="16"/>
      <w:r>
        <w:t xml:space="preserve">Holders of information  </w:t>
      </w:r>
    </w:p>
    <w:p w14:paraId="7845684C" w14:textId="77777777" w:rsidR="00BB62F4" w:rsidRDefault="00000000">
      <w:pPr>
        <w:rPr>
          <w:color w:val="7F7F7F"/>
        </w:rPr>
      </w:pPr>
      <w:r>
        <w:rPr>
          <w:rFonts w:ascii="MS Gothic" w:eastAsia="MS Gothic" w:hAnsi="MS Gothic" w:cs="MS Gothic"/>
          <w:color w:val="7F7F7F"/>
        </w:rPr>
        <w:t>ⓘ</w:t>
      </w:r>
      <w:r>
        <w:rPr>
          <w:color w:val="7F7F7F"/>
        </w:rPr>
        <w:t xml:space="preserve"> The purpose of this mapping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This section can also be used for informing the EITI Report.</w:t>
      </w:r>
    </w:p>
    <w:tbl>
      <w:tblPr>
        <w:tblStyle w:val="af"/>
        <w:tblW w:w="9062" w:type="dxa"/>
        <w:tblInd w:w="0"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413"/>
        <w:gridCol w:w="4536"/>
        <w:gridCol w:w="3113"/>
      </w:tblGrid>
      <w:tr w:rsidR="00BB62F4" w14:paraId="3865EA8B" w14:textId="77777777">
        <w:tc>
          <w:tcPr>
            <w:tcW w:w="1413" w:type="dxa"/>
            <w:shd w:val="clear" w:color="auto" w:fill="B4C6E7"/>
          </w:tcPr>
          <w:p w14:paraId="19BF1CD5" w14:textId="77777777" w:rsidR="00BB62F4" w:rsidRDefault="00BB62F4">
            <w:pPr>
              <w:rPr>
                <w:b/>
                <w:bCs/>
              </w:rPr>
            </w:pPr>
          </w:p>
        </w:tc>
        <w:tc>
          <w:tcPr>
            <w:tcW w:w="4536" w:type="dxa"/>
            <w:shd w:val="clear" w:color="auto" w:fill="B4C6E7"/>
          </w:tcPr>
          <w:p w14:paraId="53C1CD1A" w14:textId="77777777" w:rsidR="00BB62F4" w:rsidRDefault="00000000">
            <w:pPr>
              <w:rPr>
                <w:b/>
                <w:bCs/>
              </w:rPr>
            </w:pPr>
            <w:r>
              <w:rPr>
                <w:b/>
                <w:bCs/>
              </w:rPr>
              <w:t>Question</w:t>
            </w:r>
          </w:p>
        </w:tc>
        <w:tc>
          <w:tcPr>
            <w:tcW w:w="3113" w:type="dxa"/>
            <w:shd w:val="clear" w:color="auto" w:fill="B4C6E7"/>
          </w:tcPr>
          <w:p w14:paraId="4CE6415A" w14:textId="77777777" w:rsidR="00BB62F4" w:rsidRDefault="00000000">
            <w:pPr>
              <w:rPr>
                <w:b/>
                <w:bCs/>
              </w:rPr>
            </w:pPr>
            <w:r>
              <w:rPr>
                <w:b/>
                <w:bCs/>
              </w:rPr>
              <w:t>Response</w:t>
            </w:r>
          </w:p>
        </w:tc>
      </w:tr>
      <w:tr w:rsidR="00BB62F4" w14:paraId="6CE86029" w14:textId="77777777">
        <w:tc>
          <w:tcPr>
            <w:tcW w:w="1413" w:type="dxa"/>
          </w:tcPr>
          <w:p w14:paraId="38E3AFF6" w14:textId="77777777" w:rsidR="00BB62F4" w:rsidRDefault="00000000">
            <w:r>
              <w:rPr>
                <w:b/>
                <w:bCs/>
              </w:rPr>
              <w:lastRenderedPageBreak/>
              <w:t xml:space="preserve">Register or cadastre system(s) 2.3.b. </w:t>
            </w:r>
          </w:p>
          <w:p w14:paraId="11E24590" w14:textId="77777777" w:rsidR="00BB62F4" w:rsidRDefault="00BB62F4"/>
        </w:tc>
        <w:tc>
          <w:tcPr>
            <w:tcW w:w="4536" w:type="dxa"/>
          </w:tcPr>
          <w:p w14:paraId="30936CF2" w14:textId="77777777" w:rsidR="00BB62F4" w:rsidRDefault="00000000">
            <w:r>
              <w:t xml:space="preserve">Which government entity holds/ is responsible for maintaining a publicly available register or </w:t>
            </w:r>
            <w:proofErr w:type="spellStart"/>
            <w:r>
              <w:t>cadaster</w:t>
            </w:r>
            <w:proofErr w:type="spellEnd"/>
            <w:r>
              <w:t xml:space="preserve"> system(s) with information about property rights of the </w:t>
            </w:r>
            <w:r>
              <w:rPr>
                <w:highlight w:val="lightGray"/>
              </w:rPr>
              <w:t>Choose an item.</w:t>
            </w:r>
            <w:r>
              <w:t xml:space="preserve"> industry within the agreed scope of EITI implementation? </w:t>
            </w:r>
          </w:p>
        </w:tc>
        <w:tc>
          <w:tcPr>
            <w:tcW w:w="3113" w:type="dxa"/>
          </w:tcPr>
          <w:p w14:paraId="22C74C45" w14:textId="77777777" w:rsidR="00BB62F4" w:rsidRDefault="00000000">
            <w:r>
              <w:rPr>
                <w:shd w:val="clear" w:color="auto" w:fill="D9E2F3"/>
              </w:rPr>
              <w:t xml:space="preserve">Responsible entity: </w:t>
            </w:r>
            <w:r>
              <w:rPr>
                <w:i/>
                <w:iCs/>
                <w:shd w:val="clear" w:color="auto" w:fill="D9E2F3"/>
              </w:rPr>
              <w:t>please specify</w:t>
            </w:r>
            <w:r>
              <w:t xml:space="preserve">: </w:t>
            </w:r>
          </w:p>
          <w:p w14:paraId="52C5AA10" w14:textId="77777777" w:rsidR="00BB62F4" w:rsidRDefault="00000000">
            <w:pPr>
              <w:rPr>
                <w:rFonts w:ascii="Times New Roman" w:eastAsia="Times New Roman" w:hAnsi="Times New Roman" w:cs="Times New Roman"/>
                <w:sz w:val="24"/>
                <w:szCs w:val="24"/>
              </w:rPr>
            </w:pPr>
            <w:r>
              <w:t xml:space="preserve">NUPRC </w:t>
            </w:r>
            <w:r>
              <w:rPr>
                <w:rFonts w:ascii="EB Garamond" w:eastAsia="EB Garamond" w:hAnsi="EB Garamond" w:cs="EB Garamond"/>
              </w:rPr>
              <w:t xml:space="preserve">is </w:t>
            </w:r>
            <w:proofErr w:type="gramStart"/>
            <w:r>
              <w:rPr>
                <w:rFonts w:ascii="EB Garamond" w:eastAsia="EB Garamond" w:hAnsi="EB Garamond" w:cs="EB Garamond"/>
              </w:rPr>
              <w:t xml:space="preserve">the </w:t>
            </w:r>
            <w:r>
              <w:rPr>
                <w:rFonts w:ascii="EB Garamond" w:eastAsia="EB Garamond" w:hAnsi="EB Garamond" w:cs="EB Garamond"/>
                <w:color w:val="000000"/>
              </w:rPr>
              <w:t xml:space="preserve"> government</w:t>
            </w:r>
            <w:proofErr w:type="gramEnd"/>
            <w:r>
              <w:rPr>
                <w:rFonts w:ascii="EB Garamond" w:eastAsia="EB Garamond" w:hAnsi="EB Garamond" w:cs="EB Garamond"/>
                <w:color w:val="000000"/>
              </w:rPr>
              <w:t xml:space="preserve"> entity responsible for maintaining a publicly available or cadastre system for property </w:t>
            </w:r>
            <w:proofErr w:type="gramStart"/>
            <w:r>
              <w:rPr>
                <w:rFonts w:ascii="EB Garamond" w:eastAsia="EB Garamond" w:hAnsi="EB Garamond" w:cs="EB Garamond"/>
                <w:color w:val="000000"/>
              </w:rPr>
              <w:t>rights(</w:t>
            </w:r>
            <w:proofErr w:type="gramEnd"/>
            <w:r>
              <w:rPr>
                <w:rFonts w:ascii="EB Garamond" w:eastAsia="EB Garamond" w:hAnsi="EB Garamond" w:cs="EB Garamond"/>
                <w:color w:val="000000"/>
              </w:rPr>
              <w:t xml:space="preserve">leases, licenses, and permits) in the oil and gas industry is the </w:t>
            </w:r>
            <w:hyperlink r:id="rId112">
              <w:r>
                <w:rPr>
                  <w:rFonts w:ascii="EB Garamond" w:eastAsia="EB Garamond" w:hAnsi="EB Garamond" w:cs="EB Garamond"/>
                  <w:color w:val="0000FF"/>
                  <w:u w:val="single"/>
                </w:rPr>
                <w:t>Nigerian Upstream Petroleum Regulatory Commission</w:t>
              </w:r>
            </w:hyperlink>
            <w:r>
              <w:rPr>
                <w:rFonts w:ascii="EB Garamond" w:eastAsia="EB Garamond" w:hAnsi="EB Garamond" w:cs="EB Garamond"/>
                <w:color w:val="000000"/>
              </w:rPr>
              <w:t xml:space="preserve"> (</w:t>
            </w:r>
            <w:hyperlink r:id="rId113">
              <w:r>
                <w:rPr>
                  <w:rFonts w:ascii="EB Garamond" w:eastAsia="EB Garamond" w:hAnsi="EB Garamond" w:cs="EB Garamond"/>
                  <w:color w:val="0000FF"/>
                  <w:u w:val="single"/>
                </w:rPr>
                <w:t>NUPRC</w:t>
              </w:r>
            </w:hyperlink>
            <w:r>
              <w:rPr>
                <w:rFonts w:ascii="EB Garamond" w:eastAsia="EB Garamond" w:hAnsi="EB Garamond" w:cs="EB Garamond"/>
                <w:color w:val="000000"/>
              </w:rPr>
              <w:t>). The PIA 2021 mandates the NUPRC for upstream and the NMDPRA for Midstream and Downstream to maintain a public register of licenses, permits, and authorizations.</w:t>
            </w:r>
          </w:p>
          <w:p w14:paraId="041A0E18"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rPr>
              <w:t xml:space="preserve">The NUPRC manages upstream acreage, including Petroleum Prospecting Licenses (PPL) and Petroleum Mining Leases (PML). The NUPRC utilizes systems such as the </w:t>
            </w:r>
            <w:hyperlink r:id="rId114">
              <w:r>
                <w:rPr>
                  <w:rFonts w:ascii="EB Garamond" w:eastAsia="EB Garamond" w:hAnsi="EB Garamond" w:cs="EB Garamond"/>
                  <w:color w:val="0000FF"/>
                  <w:u w:val="single"/>
                </w:rPr>
                <w:t>National Production Monitoring System (NPMS)</w:t>
              </w:r>
            </w:hyperlink>
            <w:r>
              <w:rPr>
                <w:rFonts w:ascii="EB Garamond" w:eastAsia="EB Garamond" w:hAnsi="EB Garamond" w:cs="EB Garamond"/>
                <w:color w:val="000000"/>
              </w:rPr>
              <w:t xml:space="preserve"> for monitoring and </w:t>
            </w:r>
            <w:hyperlink r:id="rId115">
              <w:r>
                <w:rPr>
                  <w:rFonts w:ascii="EB Garamond" w:eastAsia="EB Garamond" w:hAnsi="EB Garamond" w:cs="EB Garamond"/>
                  <w:color w:val="0000FF"/>
                  <w:u w:val="single"/>
                </w:rPr>
                <w:t>the Electronic License Management System (ELPS).</w:t>
              </w:r>
            </w:hyperlink>
            <w:r>
              <w:rPr>
                <w:rFonts w:ascii="EB Garamond" w:eastAsia="EB Garamond" w:hAnsi="EB Garamond" w:cs="EB Garamond"/>
                <w:color w:val="000000"/>
              </w:rPr>
              <w:t>.</w:t>
            </w:r>
          </w:p>
          <w:p w14:paraId="769B5FDE"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rPr>
              <w:t xml:space="preserve">The </w:t>
            </w:r>
            <w:proofErr w:type="gramStart"/>
            <w:r>
              <w:rPr>
                <w:rFonts w:ascii="EB Garamond" w:eastAsia="EB Garamond" w:hAnsi="EB Garamond" w:cs="EB Garamond"/>
                <w:color w:val="000000"/>
              </w:rPr>
              <w:t>NUPRC  manages</w:t>
            </w:r>
            <w:proofErr w:type="gramEnd"/>
            <w:r>
              <w:rPr>
                <w:rFonts w:ascii="EB Garamond" w:eastAsia="EB Garamond" w:hAnsi="EB Garamond" w:cs="EB Garamond"/>
                <w:color w:val="000000"/>
              </w:rPr>
              <w:t xml:space="preserve"> the </w:t>
            </w:r>
            <w:hyperlink r:id="rId116">
              <w:r>
                <w:rPr>
                  <w:rFonts w:ascii="EB Garamond" w:eastAsia="EB Garamond" w:hAnsi="EB Garamond" w:cs="EB Garamond"/>
                  <w:color w:val="0000FF"/>
                  <w:u w:val="single"/>
                </w:rPr>
                <w:t>National Data Repository (NDR)</w:t>
              </w:r>
            </w:hyperlink>
            <w:r>
              <w:rPr>
                <w:rFonts w:ascii="EB Garamond" w:eastAsia="EB Garamond" w:hAnsi="EB Garamond" w:cs="EB Garamond"/>
                <w:color w:val="000000"/>
              </w:rPr>
              <w:t xml:space="preserve"> and has developed the </w:t>
            </w:r>
            <w:hyperlink r:id="rId117">
              <w:r>
                <w:rPr>
                  <w:rFonts w:ascii="EB Garamond" w:eastAsia="EB Garamond" w:hAnsi="EB Garamond" w:cs="EB Garamond"/>
                  <w:color w:val="0000FF"/>
                  <w:u w:val="single"/>
                </w:rPr>
                <w:t xml:space="preserve">Nigerian Oil and Gas Asset </w:t>
              </w:r>
              <w:proofErr w:type="gramStart"/>
              <w:r>
                <w:rPr>
                  <w:rFonts w:ascii="EB Garamond" w:eastAsia="EB Garamond" w:hAnsi="EB Garamond" w:cs="EB Garamond"/>
                  <w:color w:val="0000FF"/>
                  <w:u w:val="single"/>
                </w:rPr>
                <w:t>beneficial</w:t>
              </w:r>
              <w:proofErr w:type="gramEnd"/>
              <w:r>
                <w:rPr>
                  <w:rFonts w:ascii="EB Garamond" w:eastAsia="EB Garamond" w:hAnsi="EB Garamond" w:cs="EB Garamond"/>
                  <w:color w:val="0000FF"/>
                  <w:u w:val="single"/>
                </w:rPr>
                <w:t xml:space="preserve"> Ownership Register (NOGABOR)</w:t>
              </w:r>
            </w:hyperlink>
            <w:r>
              <w:rPr>
                <w:rFonts w:ascii="EB Garamond" w:eastAsia="EB Garamond" w:hAnsi="EB Garamond" w:cs="EB Garamond"/>
                <w:color w:val="000000"/>
              </w:rPr>
              <w:t xml:space="preserve"> portal.</w:t>
            </w:r>
          </w:p>
          <w:p w14:paraId="41B9CDD8" w14:textId="77777777" w:rsidR="00BB62F4" w:rsidRDefault="00BB62F4"/>
          <w:p w14:paraId="101ABD99" w14:textId="77777777" w:rsidR="00BB62F4" w:rsidRDefault="00BB62F4">
            <w:pPr>
              <w:rPr>
                <w:i/>
                <w:iCs/>
              </w:rPr>
            </w:pPr>
          </w:p>
        </w:tc>
      </w:tr>
    </w:tbl>
    <w:p w14:paraId="29BDECF9" w14:textId="77777777" w:rsidR="00BB62F4" w:rsidRDefault="00BB62F4">
      <w:bookmarkStart w:id="17" w:name="_heading=h.jbo6zbrvo3fl" w:colFirst="0" w:colLast="0"/>
      <w:bookmarkEnd w:id="17"/>
    </w:p>
    <w:p w14:paraId="7638CB78" w14:textId="77777777" w:rsidR="00BB62F4" w:rsidRDefault="00000000">
      <w:pPr>
        <w:pStyle w:val="Heading3"/>
      </w:pPr>
      <w:bookmarkStart w:id="18" w:name="_heading=h.r13eq75s3xdz" w:colFirst="0" w:colLast="0"/>
      <w:bookmarkEnd w:id="18"/>
      <w:r>
        <w:t>Technical requirements</w:t>
      </w:r>
    </w:p>
    <w:tbl>
      <w:tblPr>
        <w:tblStyle w:val="af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0"/>
        <w:gridCol w:w="6822"/>
      </w:tblGrid>
      <w:tr w:rsidR="00BB62F4" w14:paraId="5D20F291" w14:textId="77777777">
        <w:tc>
          <w:tcPr>
            <w:tcW w:w="2240" w:type="dxa"/>
            <w:shd w:val="clear" w:color="auto" w:fill="B4C6E7"/>
          </w:tcPr>
          <w:p w14:paraId="7BE2B194" w14:textId="77777777" w:rsidR="00BB62F4" w:rsidRDefault="00000000">
            <w:r>
              <w:rPr>
                <w:b/>
                <w:bCs/>
              </w:rPr>
              <w:t>Required</w:t>
            </w:r>
          </w:p>
        </w:tc>
        <w:tc>
          <w:tcPr>
            <w:tcW w:w="6822" w:type="dxa"/>
            <w:shd w:val="clear" w:color="auto" w:fill="B4C6E7"/>
          </w:tcPr>
          <w:p w14:paraId="42C365B0" w14:textId="77777777" w:rsidR="00BB62F4" w:rsidRDefault="00000000">
            <w:r>
              <w:rPr>
                <w:b/>
                <w:bCs/>
              </w:rPr>
              <w:t>#2.</w:t>
            </w:r>
            <w:proofErr w:type="gramStart"/>
            <w:r>
              <w:rPr>
                <w:b/>
                <w:bCs/>
              </w:rPr>
              <w:t>3.b.</w:t>
            </w:r>
            <w:proofErr w:type="gramEnd"/>
            <w:r>
              <w:rPr>
                <w:b/>
                <w:bCs/>
              </w:rPr>
              <w:t xml:space="preserve">   Publicly available register or cadastre system(s)</w:t>
            </w:r>
          </w:p>
        </w:tc>
      </w:tr>
      <w:tr w:rsidR="00BB62F4" w14:paraId="4F837D49" w14:textId="77777777">
        <w:tc>
          <w:tcPr>
            <w:tcW w:w="2240" w:type="dxa"/>
          </w:tcPr>
          <w:p w14:paraId="54069884" w14:textId="77777777" w:rsidR="00BB62F4" w:rsidRDefault="00000000">
            <w:pPr>
              <w:rPr>
                <w:i/>
                <w:iCs/>
              </w:rPr>
            </w:pPr>
            <w:r>
              <w:rPr>
                <w:i/>
                <w:iCs/>
              </w:rPr>
              <w:t>Availability</w:t>
            </w:r>
          </w:p>
        </w:tc>
        <w:tc>
          <w:tcPr>
            <w:tcW w:w="6822" w:type="dxa"/>
          </w:tcPr>
          <w:p w14:paraId="1C15D2C0" w14:textId="77777777" w:rsidR="00BB62F4" w:rsidRDefault="00000000">
            <w:pPr>
              <w:rPr>
                <w:b/>
                <w:bCs/>
              </w:rPr>
            </w:pPr>
            <w:r>
              <w:rPr>
                <w:b/>
                <w:bCs/>
              </w:rPr>
              <w:t xml:space="preserve">Is the register or cadastre system publicly available for </w:t>
            </w:r>
            <w:r>
              <w:t>Oil and gas</w:t>
            </w:r>
            <w:r>
              <w:rPr>
                <w:b/>
                <w:bCs/>
              </w:rPr>
              <w:t xml:space="preserve">? </w:t>
            </w:r>
          </w:p>
          <w:p w14:paraId="0C42DE94" w14:textId="77777777" w:rsidR="00BB62F4" w:rsidRDefault="00000000">
            <w:pPr>
              <w:pBdr>
                <w:top w:val="nil"/>
                <w:left w:val="nil"/>
                <w:bottom w:val="nil"/>
                <w:right w:val="nil"/>
                <w:between w:val="nil"/>
              </w:pBdr>
              <w:ind w:left="360"/>
              <w:rPr>
                <w:color w:val="000000"/>
                <w:shd w:val="clear" w:color="auto" w:fill="D9E2F3"/>
              </w:rPr>
            </w:pP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sdt>
              <w:sdtPr>
                <w:tag w:val="goog_rdk_1"/>
                <w:id w:val="-1552994321"/>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 xml:space="preserve">No  </w:t>
            </w:r>
          </w:p>
          <w:p w14:paraId="7C618A89"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this (source):</w:t>
            </w:r>
          </w:p>
          <w:p w14:paraId="450CA181" w14:textId="77777777" w:rsidR="00BB62F4" w:rsidRDefault="00000000">
            <w:pPr>
              <w:pBdr>
                <w:top w:val="nil"/>
                <w:left w:val="nil"/>
                <w:bottom w:val="nil"/>
                <w:right w:val="nil"/>
                <w:between w:val="nil"/>
              </w:pBdr>
              <w:shd w:val="clear" w:color="auto" w:fill="FFFFFF"/>
              <w:ind w:left="360"/>
              <w:rPr>
                <w:color w:val="0000FF"/>
                <w:u w:val="single"/>
                <w:shd w:val="clear" w:color="auto" w:fill="D9E2F3"/>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p>
          <w:p w14:paraId="109CB5E5" w14:textId="77777777" w:rsidR="00BB62F4" w:rsidRDefault="00000000">
            <w:pPr>
              <w:numPr>
                <w:ilvl w:val="0"/>
                <w:numId w:val="32"/>
              </w:numPr>
              <w:pBdr>
                <w:top w:val="nil"/>
                <w:left w:val="nil"/>
                <w:bottom w:val="nil"/>
                <w:right w:val="nil"/>
                <w:between w:val="nil"/>
              </w:pBdr>
              <w:shd w:val="clear" w:color="auto" w:fill="FFFFFF"/>
              <w:rPr>
                <w:color w:val="000000"/>
              </w:rPr>
            </w:pPr>
            <w:hyperlink r:id="rId118">
              <w:r>
                <w:rPr>
                  <w:color w:val="1155CC"/>
                  <w:u w:val="single"/>
                </w:rPr>
                <w:t>acreage-situation-report_1781450569193.pdf</w:t>
              </w:r>
            </w:hyperlink>
            <w:r>
              <w:t xml:space="preserve"> </w:t>
            </w:r>
          </w:p>
          <w:p w14:paraId="66FAD879" w14:textId="77777777" w:rsidR="00BB62F4" w:rsidRDefault="00000000">
            <w:pPr>
              <w:pBdr>
                <w:top w:val="nil"/>
                <w:left w:val="nil"/>
                <w:bottom w:val="nil"/>
                <w:right w:val="nil"/>
                <w:between w:val="nil"/>
              </w:pBdr>
              <w:shd w:val="clear" w:color="auto" w:fill="FFFFFF"/>
              <w:ind w:left="360"/>
              <w:rPr>
                <w:color w:val="000000"/>
              </w:rPr>
            </w:pPr>
            <w:r>
              <w:rPr>
                <w:color w:val="000000"/>
              </w:rPr>
              <w:t>AND / OR</w:t>
            </w:r>
          </w:p>
          <w:p w14:paraId="404F8255" w14:textId="77777777" w:rsidR="00BB62F4" w:rsidRDefault="00000000">
            <w:pPr>
              <w:ind w:left="343"/>
            </w:pPr>
            <w:r>
              <w:t xml:space="preserve">Other sources: </w:t>
            </w:r>
            <w:r>
              <w:rPr>
                <w:shd w:val="clear" w:color="auto" w:fill="D9E2F3"/>
              </w:rPr>
              <w:t>EITI Report (year and page number), EITI website etc</w:t>
            </w:r>
          </w:p>
          <w:p w14:paraId="4547D1B1" w14:textId="77777777" w:rsidR="00BB62F4" w:rsidRDefault="00BB62F4">
            <w:pPr>
              <w:rPr>
                <w:b/>
                <w:bCs/>
              </w:rPr>
            </w:pPr>
          </w:p>
          <w:p w14:paraId="6F4452D5" w14:textId="77777777" w:rsidR="00BB62F4" w:rsidRDefault="00000000">
            <w:r>
              <w:rPr>
                <w:b/>
                <w:bCs/>
              </w:rPr>
              <w:t>If yes, does this register/cadastre discloses the following information for licenses held by all companies</w:t>
            </w:r>
            <w:r>
              <w:t xml:space="preserve"> of the sector within the agreed scope of EITI implementation?</w:t>
            </w:r>
          </w:p>
          <w:p w14:paraId="2B2AA5EC" w14:textId="77777777" w:rsidR="00BB62F4" w:rsidRDefault="00000000">
            <w:pPr>
              <w:numPr>
                <w:ilvl w:val="0"/>
                <w:numId w:val="1"/>
              </w:numPr>
              <w:pBdr>
                <w:top w:val="nil"/>
                <w:left w:val="nil"/>
                <w:bottom w:val="nil"/>
                <w:right w:val="nil"/>
                <w:between w:val="nil"/>
              </w:pBdr>
              <w:rPr>
                <w:color w:val="000000"/>
              </w:rPr>
            </w:pPr>
            <w:r>
              <w:rPr>
                <w:color w:val="000000"/>
              </w:rPr>
              <w:t xml:space="preserve">Identification /name of each license holders (2.3.a.i);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No</w:t>
            </w:r>
          </w:p>
          <w:p w14:paraId="1E2C21FB" w14:textId="77777777" w:rsidR="00BB62F4" w:rsidRDefault="00000000">
            <w:pPr>
              <w:numPr>
                <w:ilvl w:val="0"/>
                <w:numId w:val="1"/>
              </w:numPr>
              <w:pBdr>
                <w:top w:val="nil"/>
                <w:left w:val="nil"/>
                <w:bottom w:val="nil"/>
                <w:right w:val="nil"/>
                <w:between w:val="nil"/>
              </w:pBdr>
              <w:rPr>
                <w:color w:val="000000"/>
              </w:rPr>
            </w:pPr>
            <w:r>
              <w:rPr>
                <w:color w:val="000000"/>
              </w:rPr>
              <w:t xml:space="preserve">Coordinates of the licensed areas (2.3.a.ii); </w:t>
            </w:r>
            <w:sdt>
              <w:sdtPr>
                <w:tag w:val="goog_rdk_2"/>
                <w:id w:val="-1510903801"/>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No</w:t>
            </w:r>
          </w:p>
          <w:p w14:paraId="1E206C75" w14:textId="77777777" w:rsidR="00BB62F4" w:rsidRDefault="00000000">
            <w:pPr>
              <w:numPr>
                <w:ilvl w:val="0"/>
                <w:numId w:val="1"/>
              </w:numPr>
              <w:pBdr>
                <w:top w:val="nil"/>
                <w:left w:val="nil"/>
                <w:bottom w:val="nil"/>
                <w:right w:val="nil"/>
                <w:between w:val="nil"/>
              </w:pBdr>
              <w:rPr>
                <w:color w:val="000000"/>
              </w:rPr>
            </w:pPr>
            <w:r>
              <w:rPr>
                <w:color w:val="000000"/>
              </w:rPr>
              <w:t xml:space="preserve">Where coordinates are not available, information about the size and location of the licensed areas </w:t>
            </w:r>
            <w:sdt>
              <w:sdtPr>
                <w:tag w:val="goog_rdk_3"/>
                <w:id w:val="-840685159"/>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No</w:t>
            </w:r>
          </w:p>
          <w:p w14:paraId="5CED88E9" w14:textId="77777777" w:rsidR="00BB62F4" w:rsidRDefault="00000000">
            <w:pPr>
              <w:numPr>
                <w:ilvl w:val="0"/>
                <w:numId w:val="1"/>
              </w:numPr>
              <w:pBdr>
                <w:top w:val="nil"/>
                <w:left w:val="nil"/>
                <w:bottom w:val="nil"/>
                <w:right w:val="nil"/>
                <w:between w:val="nil"/>
              </w:pBdr>
              <w:rPr>
                <w:color w:val="000000"/>
              </w:rPr>
            </w:pPr>
            <w:r>
              <w:rPr>
                <w:color w:val="000000"/>
              </w:rPr>
              <w:t xml:space="preserve">Coordinates/location information is accessible without unreasonable fees and restrictions </w:t>
            </w:r>
            <w:sdt>
              <w:sdtPr>
                <w:tag w:val="goog_rdk_4"/>
                <w:id w:val="-460201164"/>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No</w:t>
            </w:r>
          </w:p>
          <w:p w14:paraId="1FAA4CA1" w14:textId="77777777" w:rsidR="00BB62F4" w:rsidRDefault="00000000">
            <w:pPr>
              <w:numPr>
                <w:ilvl w:val="0"/>
                <w:numId w:val="1"/>
              </w:numPr>
              <w:pBdr>
                <w:top w:val="nil"/>
                <w:left w:val="nil"/>
                <w:bottom w:val="nil"/>
                <w:right w:val="nil"/>
                <w:between w:val="nil"/>
              </w:pBdr>
              <w:rPr>
                <w:color w:val="000000"/>
              </w:rPr>
            </w:pPr>
            <w:r>
              <w:rPr>
                <w:color w:val="000000"/>
              </w:rPr>
              <w:t xml:space="preserve">Dates of application of the license (2.3.iii);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sdt>
              <w:sdtPr>
                <w:tag w:val="goog_rdk_5"/>
                <w:id w:val="1863076892"/>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No</w:t>
            </w:r>
          </w:p>
          <w:p w14:paraId="634A8B3C" w14:textId="77777777" w:rsidR="00BB62F4" w:rsidRDefault="00000000">
            <w:pPr>
              <w:numPr>
                <w:ilvl w:val="0"/>
                <w:numId w:val="1"/>
              </w:numPr>
              <w:pBdr>
                <w:top w:val="nil"/>
                <w:left w:val="nil"/>
                <w:bottom w:val="nil"/>
                <w:right w:val="nil"/>
                <w:between w:val="nil"/>
              </w:pBdr>
              <w:rPr>
                <w:color w:val="000000"/>
              </w:rPr>
            </w:pPr>
            <w:r>
              <w:rPr>
                <w:color w:val="000000"/>
              </w:rPr>
              <w:t xml:space="preserve">Dates of award of the license (2.3.iii);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sdt>
              <w:sdtPr>
                <w:tag w:val="goog_rdk_6"/>
                <w:id w:val="-413393012"/>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No</w:t>
            </w:r>
          </w:p>
          <w:p w14:paraId="3DCC7954" w14:textId="77777777" w:rsidR="00BB62F4" w:rsidRDefault="00000000">
            <w:pPr>
              <w:numPr>
                <w:ilvl w:val="0"/>
                <w:numId w:val="1"/>
              </w:numPr>
              <w:pBdr>
                <w:top w:val="nil"/>
                <w:left w:val="nil"/>
                <w:bottom w:val="nil"/>
                <w:right w:val="nil"/>
                <w:between w:val="nil"/>
              </w:pBdr>
              <w:rPr>
                <w:color w:val="000000"/>
              </w:rPr>
            </w:pPr>
            <w:r>
              <w:rPr>
                <w:color w:val="000000"/>
              </w:rPr>
              <w:t xml:space="preserve">Duration of the license (2.3.iii);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sdt>
              <w:sdtPr>
                <w:tag w:val="goog_rdk_7"/>
                <w:id w:val="-1679264806"/>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No</w:t>
            </w:r>
          </w:p>
          <w:p w14:paraId="68576102" w14:textId="77777777" w:rsidR="00BB62F4" w:rsidRDefault="00000000">
            <w:pPr>
              <w:numPr>
                <w:ilvl w:val="0"/>
                <w:numId w:val="1"/>
              </w:numPr>
              <w:pBdr>
                <w:top w:val="nil"/>
                <w:left w:val="nil"/>
                <w:bottom w:val="nil"/>
                <w:right w:val="nil"/>
                <w:between w:val="nil"/>
              </w:pBdr>
              <w:rPr>
                <w:color w:val="000000"/>
              </w:rPr>
            </w:pPr>
            <w:r>
              <w:rPr>
                <w:color w:val="000000"/>
              </w:rPr>
              <w:t xml:space="preserve">The commodity being produced (2.3.iv);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sdt>
              <w:sdtPr>
                <w:tag w:val="goog_rdk_8"/>
                <w:id w:val="-170567845"/>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No</w:t>
            </w:r>
          </w:p>
          <w:p w14:paraId="7B316D3A" w14:textId="77777777" w:rsidR="00BB62F4" w:rsidRDefault="00BB62F4">
            <w:pPr>
              <w:rPr>
                <w:b/>
                <w:bCs/>
              </w:rPr>
            </w:pPr>
          </w:p>
          <w:p w14:paraId="323852AA" w14:textId="77777777" w:rsidR="00BB62F4" w:rsidRDefault="00000000">
            <w:pPr>
              <w:rPr>
                <w:b/>
                <w:bCs/>
              </w:rPr>
            </w:pPr>
            <w:r>
              <w:rPr>
                <w:b/>
                <w:bCs/>
              </w:rPr>
              <w:t>How timely is public information available on license holders, contract holders and license transfers?</w:t>
            </w:r>
          </w:p>
          <w:p w14:paraId="35C822B1" w14:textId="77777777" w:rsidR="00BB62F4" w:rsidRDefault="00000000">
            <w:r>
              <w:rPr>
                <w:rFonts w:ascii="MS Gothic" w:eastAsia="MS Gothic" w:hAnsi="MS Gothic" w:cs="MS Gothic"/>
              </w:rPr>
              <w:t>☐</w:t>
            </w:r>
            <w:r>
              <w:t xml:space="preserve"> In real time or within one week of the attribution or transfer</w:t>
            </w:r>
          </w:p>
          <w:p w14:paraId="59E7BF75" w14:textId="77777777" w:rsidR="00BB62F4" w:rsidRDefault="00000000">
            <w:r>
              <w:rPr>
                <w:rFonts w:ascii="MS Gothic" w:eastAsia="MS Gothic" w:hAnsi="MS Gothic" w:cs="MS Gothic"/>
              </w:rPr>
              <w:t>☒</w:t>
            </w:r>
            <w:r>
              <w:t xml:space="preserve"> Within a month</w:t>
            </w:r>
          </w:p>
          <w:p w14:paraId="2AA8DF92" w14:textId="77777777" w:rsidR="00BB62F4" w:rsidRDefault="00000000">
            <w:r>
              <w:rPr>
                <w:rFonts w:ascii="MS Gothic" w:eastAsia="MS Gothic" w:hAnsi="MS Gothic" w:cs="MS Gothic"/>
              </w:rPr>
              <w:t>☐</w:t>
            </w:r>
            <w:r>
              <w:t xml:space="preserve"> Through EITI reporting only (</w:t>
            </w:r>
            <w:proofErr w:type="spellStart"/>
            <w:r>
              <w:t>ie</w:t>
            </w:r>
            <w:proofErr w:type="spellEnd"/>
            <w:r>
              <w:t xml:space="preserve"> delay of up to 24 months)</w:t>
            </w:r>
          </w:p>
          <w:p w14:paraId="2B95A561" w14:textId="77777777" w:rsidR="00BB62F4" w:rsidRDefault="00000000">
            <w:r>
              <w:rPr>
                <w:rFonts w:ascii="MS Gothic" w:eastAsia="MS Gothic" w:hAnsi="MS Gothic" w:cs="MS Gothic"/>
              </w:rPr>
              <w:t>☐</w:t>
            </w:r>
            <w:r>
              <w:t xml:space="preserve"> </w:t>
            </w:r>
            <w:r>
              <w:rPr>
                <w:shd w:val="clear" w:color="auto" w:fill="D9E2F3"/>
              </w:rPr>
              <w:t>Other: please specify:</w:t>
            </w:r>
            <w:r>
              <w:t xml:space="preserve"> </w:t>
            </w:r>
          </w:p>
          <w:p w14:paraId="26F63CB4" w14:textId="77777777" w:rsidR="00BB62F4" w:rsidRDefault="00BB62F4"/>
        </w:tc>
      </w:tr>
      <w:tr w:rsidR="00BB62F4" w14:paraId="512AACF7" w14:textId="77777777">
        <w:tc>
          <w:tcPr>
            <w:tcW w:w="2240" w:type="dxa"/>
          </w:tcPr>
          <w:p w14:paraId="026A46B2" w14:textId="77777777" w:rsidR="00BB62F4" w:rsidRDefault="00000000">
            <w:r>
              <w:rPr>
                <w:i/>
                <w:iCs/>
              </w:rPr>
              <w:lastRenderedPageBreak/>
              <w:t>Assessment on comprehensiveness, reliability and timeliness of information</w:t>
            </w:r>
          </w:p>
        </w:tc>
        <w:tc>
          <w:tcPr>
            <w:tcW w:w="6822" w:type="dxa"/>
          </w:tcPr>
          <w:p w14:paraId="4226C0BA" w14:textId="77777777" w:rsidR="00BB62F4" w:rsidRDefault="00000000">
            <w:pPr>
              <w:rPr>
                <w:b/>
                <w:bCs/>
              </w:rPr>
            </w:pPr>
            <w:r>
              <w:rPr>
                <w:b/>
                <w:bCs/>
              </w:rPr>
              <w:t>Do you or any stakeholders (including, but not limited to MSG members) have concerns regarding the completeness, reliability and timeliness of the following information?</w:t>
            </w:r>
            <w:r>
              <w:rPr>
                <w:vertAlign w:val="superscript"/>
              </w:rPr>
              <w:footnoteReference w:id="4"/>
            </w:r>
            <w:r>
              <w:rPr>
                <w:b/>
                <w:bCs/>
              </w:rPr>
              <w:t xml:space="preserve"> </w:t>
            </w:r>
          </w:p>
          <w:p w14:paraId="63BC83E6" w14:textId="77777777" w:rsidR="00BB62F4" w:rsidRDefault="00000000">
            <w:pPr>
              <w:numPr>
                <w:ilvl w:val="1"/>
                <w:numId w:val="8"/>
              </w:numPr>
              <w:pBdr>
                <w:top w:val="nil"/>
                <w:left w:val="nil"/>
                <w:bottom w:val="nil"/>
                <w:right w:val="nil"/>
                <w:between w:val="nil"/>
              </w:pBdr>
              <w:shd w:val="clear" w:color="auto" w:fill="FFFFFF"/>
              <w:ind w:left="1016" w:hanging="284"/>
              <w:rPr>
                <w:color w:val="000000"/>
              </w:rPr>
            </w:pPr>
            <w:r>
              <w:rPr>
                <w:color w:val="000000"/>
                <w:u w:val="single"/>
              </w:rPr>
              <w:t>Identification</w:t>
            </w:r>
            <w:r>
              <w:rPr>
                <w:color w:val="000000"/>
              </w:rPr>
              <w:t xml:space="preserve"> /name of </w:t>
            </w:r>
            <w:r>
              <w:rPr>
                <w:color w:val="000000"/>
                <w:u w:val="single"/>
              </w:rPr>
              <w:t>each</w:t>
            </w:r>
            <w:r>
              <w:rPr>
                <w:color w:val="000000"/>
              </w:rPr>
              <w:t xml:space="preserve"> license holder</w:t>
            </w:r>
            <w:r>
              <w:rPr>
                <w:color w:val="000000"/>
                <w:highlight w:val="white"/>
              </w:rPr>
              <w:t xml:space="preserve">: </w:t>
            </w:r>
            <w:r>
              <w:rPr>
                <w:color w:val="000000"/>
                <w:highlight w:val="white"/>
              </w:rPr>
              <w:br/>
            </w:r>
            <w:r>
              <w:rPr>
                <w:rFonts w:ascii="MS Gothic" w:eastAsia="MS Gothic" w:hAnsi="MS Gothic" w:cs="MS Gothic"/>
                <w:color w:val="000000"/>
                <w:highlight w:val="white"/>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521D07B7" w14:textId="77777777" w:rsidR="00BB62F4" w:rsidRDefault="00000000">
            <w:pPr>
              <w:shd w:val="clear" w:color="auto" w:fill="FFFFFF"/>
              <w:ind w:left="1051"/>
              <w:rPr>
                <w:shd w:val="clear" w:color="auto" w:fill="D9E2F3"/>
              </w:rPr>
            </w:pPr>
            <w:r>
              <w:rPr>
                <w:shd w:val="clear" w:color="auto" w:fill="D9E2F3"/>
              </w:rPr>
              <w:t xml:space="preserve">If yes, please elaborate: </w:t>
            </w:r>
          </w:p>
          <w:p w14:paraId="3EBDC64E" w14:textId="77777777" w:rsidR="00BB62F4" w:rsidRDefault="00000000">
            <w:pPr>
              <w:shd w:val="clear" w:color="auto" w:fill="FFFFFF"/>
              <w:ind w:left="1051"/>
              <w:rPr>
                <w:rFonts w:ascii="Times New Roman" w:eastAsia="Times New Roman" w:hAnsi="Times New Roman" w:cs="Times New Roman"/>
                <w:sz w:val="24"/>
                <w:szCs w:val="24"/>
              </w:rPr>
            </w:pPr>
            <w:hyperlink r:id="rId119">
              <w:r>
                <w:rPr>
                  <w:rFonts w:ascii="EB Garamond" w:eastAsia="EB Garamond" w:hAnsi="EB Garamond" w:cs="EB Garamond"/>
                  <w:color w:val="0000FF"/>
                  <w:u w:val="single"/>
                </w:rPr>
                <w:t>NEITI 2023 Oil and Gas Report</w:t>
              </w:r>
            </w:hyperlink>
            <w:r>
              <w:rPr>
                <w:rFonts w:ascii="EB Garamond" w:eastAsia="EB Garamond" w:hAnsi="EB Garamond" w:cs="EB Garamond"/>
                <w:color w:val="000000"/>
              </w:rPr>
              <w:t xml:space="preserve"> (Chapter 8 Table 84, S/No.2: Observations and Recommendations for 2022-2023 Extractive Reporting and Chapter 9, page 136) has identified procedural gaps and transparency issues regarding NUPRC’s licensing and contract disclosures. While not explicitly defining these as illegal breaches, the report highlighted weak implementation of Petroleum Industry Act (PIA) 2021 provisions and incomplete public disclosure of contracts</w:t>
            </w:r>
          </w:p>
          <w:p w14:paraId="116D7B7A" w14:textId="77777777" w:rsidR="00BB62F4" w:rsidRDefault="00000000">
            <w:pPr>
              <w:shd w:val="clear" w:color="auto" w:fill="FFFFFF"/>
              <w:ind w:left="1051"/>
            </w:pPr>
            <w:r>
              <w:rPr>
                <w:shd w:val="clear" w:color="auto" w:fill="D9E2F3"/>
              </w:rPr>
              <w:br/>
            </w:r>
          </w:p>
          <w:p w14:paraId="3026A255" w14:textId="77777777" w:rsidR="00BB62F4" w:rsidRDefault="00000000">
            <w:pPr>
              <w:numPr>
                <w:ilvl w:val="1"/>
                <w:numId w:val="8"/>
              </w:numPr>
              <w:pBdr>
                <w:top w:val="nil"/>
                <w:left w:val="nil"/>
                <w:bottom w:val="nil"/>
                <w:right w:val="nil"/>
                <w:between w:val="nil"/>
              </w:pBdr>
              <w:shd w:val="clear" w:color="auto" w:fill="FFFFFF"/>
              <w:ind w:left="1016" w:hanging="284"/>
              <w:rPr>
                <w:color w:val="000000"/>
              </w:rPr>
            </w:pPr>
            <w:r>
              <w:rPr>
                <w:color w:val="000000"/>
              </w:rPr>
              <w:lastRenderedPageBreak/>
              <w:t>Coordinates/location information of the licensed areas:</w:t>
            </w:r>
            <w:r>
              <w:rPr>
                <w:color w:val="000000"/>
              </w:rPr>
              <w:br/>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552E5465" w14:textId="77777777" w:rsidR="00BB62F4" w:rsidRDefault="00000000">
            <w:pPr>
              <w:pBdr>
                <w:top w:val="nil"/>
                <w:left w:val="nil"/>
                <w:bottom w:val="nil"/>
                <w:right w:val="nil"/>
                <w:between w:val="nil"/>
              </w:pBdr>
              <w:shd w:val="clear" w:color="auto" w:fill="FFFFFF"/>
              <w:ind w:left="1016"/>
              <w:rPr>
                <w:i/>
                <w:iCs/>
                <w:color w:val="000000"/>
                <w:shd w:val="clear" w:color="auto" w:fill="D9E2F3"/>
              </w:rPr>
            </w:pPr>
            <w:r>
              <w:rPr>
                <w:color w:val="000000"/>
                <w:shd w:val="clear" w:color="auto" w:fill="D9E2F3"/>
              </w:rPr>
              <w:t xml:space="preserve">If yes, </w:t>
            </w:r>
            <w:proofErr w:type="gramStart"/>
            <w:r>
              <w:rPr>
                <w:color w:val="000000"/>
                <w:shd w:val="clear" w:color="auto" w:fill="D9E2F3"/>
              </w:rPr>
              <w:t>Please</w:t>
            </w:r>
            <w:proofErr w:type="gramEnd"/>
            <w:r>
              <w:rPr>
                <w:color w:val="000000"/>
                <w:shd w:val="clear" w:color="auto" w:fill="D9E2F3"/>
              </w:rPr>
              <w:t xml:space="preserve"> elaborate: </w:t>
            </w:r>
            <w:r>
              <w:rPr>
                <w:i/>
                <w:iCs/>
                <w:color w:val="000000"/>
                <w:shd w:val="clear" w:color="auto" w:fill="D9E2F3"/>
              </w:rPr>
              <w:t xml:space="preserve">for example, not all licenses contain information on coordinates </w:t>
            </w:r>
          </w:p>
          <w:p w14:paraId="6D688566" w14:textId="77777777" w:rsidR="00BB62F4" w:rsidRDefault="00000000">
            <w:pPr>
              <w:pBdr>
                <w:top w:val="nil"/>
                <w:left w:val="nil"/>
                <w:bottom w:val="nil"/>
                <w:right w:val="nil"/>
                <w:between w:val="nil"/>
              </w:pBdr>
              <w:shd w:val="clear" w:color="auto" w:fill="FFFFFF"/>
              <w:ind w:left="1016"/>
              <w:rPr>
                <w:color w:val="000000"/>
              </w:rPr>
            </w:pPr>
            <w:r>
              <w:rPr>
                <w:rFonts w:ascii="EB Garamond" w:eastAsia="EB Garamond" w:hAnsi="EB Garamond" w:cs="EB Garamond"/>
                <w:color w:val="000000"/>
              </w:rPr>
              <w:t xml:space="preserve">Upstream Register of License: It was observed that NUPRC have not publicly disclosed Register of Licenses. The examined publicly available document titled “Concession Situation” does not meet the requirement of a comprehensive Register. See  </w:t>
            </w:r>
            <w:hyperlink r:id="rId120">
              <w:r>
                <w:rPr>
                  <w:rFonts w:ascii="EB Garamond" w:eastAsia="EB Garamond" w:hAnsi="EB Garamond" w:cs="EB Garamond"/>
                  <w:color w:val="0000FF"/>
                  <w:u w:val="single"/>
                </w:rPr>
                <w:t>NEITI 2023 Oil and Gas Report</w:t>
              </w:r>
            </w:hyperlink>
            <w:r>
              <w:rPr>
                <w:rFonts w:ascii="EB Garamond" w:eastAsia="EB Garamond" w:hAnsi="EB Garamond" w:cs="EB Garamond"/>
                <w:color w:val="000000"/>
              </w:rPr>
              <w:t xml:space="preserve"> (Chapter 9, Table 84, item 2 for details.</w:t>
            </w:r>
          </w:p>
          <w:p w14:paraId="5DD28AAC" w14:textId="77777777" w:rsidR="00BB62F4" w:rsidRDefault="00BB62F4">
            <w:pPr>
              <w:pBdr>
                <w:top w:val="nil"/>
                <w:left w:val="nil"/>
                <w:bottom w:val="nil"/>
                <w:right w:val="nil"/>
                <w:between w:val="nil"/>
              </w:pBdr>
              <w:shd w:val="clear" w:color="auto" w:fill="FFFFFF"/>
              <w:ind w:left="1016"/>
              <w:rPr>
                <w:color w:val="000000"/>
              </w:rPr>
            </w:pPr>
          </w:p>
          <w:p w14:paraId="711EC29F" w14:textId="77777777" w:rsidR="00BB62F4" w:rsidRDefault="00000000">
            <w:pPr>
              <w:numPr>
                <w:ilvl w:val="1"/>
                <w:numId w:val="8"/>
              </w:numPr>
              <w:pBdr>
                <w:top w:val="nil"/>
                <w:left w:val="nil"/>
                <w:bottom w:val="nil"/>
                <w:right w:val="nil"/>
                <w:between w:val="nil"/>
              </w:pBdr>
              <w:shd w:val="clear" w:color="auto" w:fill="FFFFFF"/>
              <w:ind w:left="1016" w:hanging="284"/>
              <w:rPr>
                <w:color w:val="000000"/>
              </w:rPr>
            </w:pPr>
            <w:r>
              <w:rPr>
                <w:color w:val="000000"/>
              </w:rPr>
              <w:t xml:space="preserve">Dates of </w:t>
            </w:r>
            <w:r>
              <w:rPr>
                <w:color w:val="000000"/>
                <w:u w:val="single"/>
              </w:rPr>
              <w:t>application</w:t>
            </w:r>
            <w:r>
              <w:rPr>
                <w:color w:val="000000"/>
              </w:rPr>
              <w:t xml:space="preserve"> of the license: </w:t>
            </w:r>
            <w:r>
              <w:rPr>
                <w:color w:val="000000"/>
              </w:rPr>
              <w:br/>
            </w:r>
            <w:r>
              <w:rPr>
                <w:rFonts w:ascii="MS Gothic" w:eastAsia="MS Gothic" w:hAnsi="MS Gothic" w:cs="MS Gothic"/>
                <w:color w:val="000000"/>
                <w:highlight w:val="white"/>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441D3B4F" w14:textId="77777777" w:rsidR="00BB62F4" w:rsidRDefault="00000000">
            <w:pPr>
              <w:pBdr>
                <w:top w:val="nil"/>
                <w:left w:val="nil"/>
                <w:bottom w:val="nil"/>
                <w:right w:val="nil"/>
                <w:between w:val="nil"/>
              </w:pBdr>
              <w:shd w:val="clear" w:color="auto" w:fill="FFFFFF"/>
              <w:ind w:left="1016"/>
              <w:rPr>
                <w:color w:val="000000"/>
                <w:shd w:val="clear" w:color="auto" w:fill="D9E2F3"/>
              </w:rPr>
            </w:pPr>
            <w:r>
              <w:rPr>
                <w:color w:val="000000"/>
                <w:shd w:val="clear" w:color="auto" w:fill="D9E2F3"/>
              </w:rPr>
              <w:t xml:space="preserve">If yes, please elaborate: </w:t>
            </w:r>
            <w:r>
              <w:rPr>
                <w:i/>
                <w:iCs/>
                <w:color w:val="000000"/>
                <w:shd w:val="clear" w:color="auto" w:fill="D9E2F3"/>
              </w:rPr>
              <w:t>for example, 13 licenses are missing application dates.</w:t>
            </w:r>
            <w:r>
              <w:rPr>
                <w:i/>
                <w:iCs/>
                <w:color w:val="000000"/>
                <w:shd w:val="clear" w:color="auto" w:fill="D9E2F3"/>
              </w:rPr>
              <w:br/>
            </w:r>
            <w:r>
              <w:rPr>
                <w:color w:val="000000"/>
                <w:shd w:val="clear" w:color="auto" w:fill="D9E2F3"/>
              </w:rPr>
              <w:t xml:space="preserve">Or </w:t>
            </w:r>
            <w:r>
              <w:rPr>
                <w:i/>
                <w:iCs/>
                <w:color w:val="000000"/>
                <w:shd w:val="clear" w:color="auto" w:fill="D9E2F3"/>
              </w:rPr>
              <w:br/>
              <w:t>Application dates are the same as the launch of the bidding round for the case of [type] of licenses.</w:t>
            </w:r>
            <w:r>
              <w:rPr>
                <w:color w:val="000000"/>
                <w:shd w:val="clear" w:color="auto" w:fill="D9E2F3"/>
              </w:rPr>
              <w:t xml:space="preserve"> </w:t>
            </w:r>
          </w:p>
          <w:p w14:paraId="30790EC1" w14:textId="77777777" w:rsidR="00BB62F4" w:rsidRDefault="00000000">
            <w:pPr>
              <w:shd w:val="clear" w:color="auto" w:fill="FFFFFF"/>
              <w:ind w:left="1016"/>
              <w:rPr>
                <w:rFonts w:ascii="Times New Roman" w:eastAsia="Times New Roman" w:hAnsi="Times New Roman" w:cs="Times New Roman"/>
                <w:sz w:val="24"/>
                <w:szCs w:val="24"/>
              </w:rPr>
            </w:pPr>
            <w:r>
              <w:rPr>
                <w:rFonts w:ascii="EB Garamond" w:eastAsia="EB Garamond" w:hAnsi="EB Garamond" w:cs="EB Garamond"/>
                <w:color w:val="000000"/>
              </w:rPr>
              <w:t xml:space="preserve">See status for dates of application details at </w:t>
            </w:r>
            <w:hyperlink r:id="rId121">
              <w:r>
                <w:rPr>
                  <w:rFonts w:ascii="EB Garamond" w:eastAsia="EB Garamond" w:hAnsi="EB Garamond" w:cs="EB Garamond"/>
                  <w:color w:val="1155CC"/>
                  <w:u w:val="single"/>
                </w:rPr>
                <w:t>acreage-situation-report_1781450569193.pdf</w:t>
              </w:r>
            </w:hyperlink>
            <w:r>
              <w:rPr>
                <w:rFonts w:ascii="EB Garamond" w:eastAsia="EB Garamond" w:hAnsi="EB Garamond" w:cs="EB Garamond"/>
              </w:rPr>
              <w:t xml:space="preserve"> </w:t>
            </w:r>
          </w:p>
          <w:p w14:paraId="2F37DFC6" w14:textId="77777777" w:rsidR="00BB62F4" w:rsidRDefault="00BB62F4">
            <w:pPr>
              <w:pBdr>
                <w:top w:val="nil"/>
                <w:left w:val="nil"/>
                <w:bottom w:val="nil"/>
                <w:right w:val="nil"/>
                <w:between w:val="nil"/>
              </w:pBdr>
              <w:shd w:val="clear" w:color="auto" w:fill="FFFFFF"/>
              <w:ind w:left="1016"/>
              <w:rPr>
                <w:color w:val="000000"/>
              </w:rPr>
            </w:pPr>
          </w:p>
          <w:p w14:paraId="0D908AB8" w14:textId="77777777" w:rsidR="00BB62F4" w:rsidRDefault="00000000">
            <w:pPr>
              <w:numPr>
                <w:ilvl w:val="1"/>
                <w:numId w:val="8"/>
              </w:numPr>
              <w:pBdr>
                <w:top w:val="nil"/>
                <w:left w:val="nil"/>
                <w:bottom w:val="nil"/>
                <w:right w:val="nil"/>
                <w:between w:val="nil"/>
              </w:pBdr>
              <w:shd w:val="clear" w:color="auto" w:fill="FFFFFF"/>
              <w:ind w:left="1016" w:hanging="284"/>
              <w:rPr>
                <w:color w:val="000000"/>
              </w:rPr>
            </w:pPr>
            <w:r>
              <w:rPr>
                <w:color w:val="000000"/>
              </w:rPr>
              <w:t xml:space="preserve">Dates of </w:t>
            </w:r>
            <w:r>
              <w:rPr>
                <w:color w:val="000000"/>
                <w:u w:val="single"/>
              </w:rPr>
              <w:t>award</w:t>
            </w:r>
            <w:r>
              <w:rPr>
                <w:color w:val="000000"/>
              </w:rPr>
              <w:t xml:space="preserve"> of the license</w:t>
            </w:r>
          </w:p>
          <w:p w14:paraId="7D267BDF" w14:textId="77777777" w:rsidR="00BB62F4" w:rsidRDefault="00000000">
            <w:pPr>
              <w:pBdr>
                <w:top w:val="nil"/>
                <w:left w:val="nil"/>
                <w:bottom w:val="nil"/>
                <w:right w:val="nil"/>
                <w:between w:val="nil"/>
              </w:pBdr>
              <w:shd w:val="clear" w:color="auto" w:fill="FFFFFF"/>
              <w:ind w:left="1016"/>
              <w:rPr>
                <w:color w:val="000000"/>
                <w:shd w:val="clear" w:color="auto" w:fill="D9E2F3"/>
              </w:rPr>
            </w:pPr>
            <w:r>
              <w:rPr>
                <w:rFonts w:ascii="MS Gothic" w:eastAsia="MS Gothic" w:hAnsi="MS Gothic" w:cs="MS Gothic"/>
                <w:color w:val="000000"/>
                <w:highlight w:val="white"/>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486B21B5" w14:textId="77777777" w:rsidR="00BB62F4" w:rsidRDefault="00000000">
            <w:pPr>
              <w:pBdr>
                <w:top w:val="nil"/>
                <w:left w:val="nil"/>
                <w:bottom w:val="nil"/>
                <w:right w:val="nil"/>
                <w:between w:val="nil"/>
              </w:pBdr>
              <w:shd w:val="clear" w:color="auto" w:fill="FFFFFF"/>
              <w:ind w:left="1016"/>
              <w:rPr>
                <w:color w:val="000000"/>
                <w:shd w:val="clear" w:color="auto" w:fill="D9E2F3"/>
              </w:rPr>
            </w:pPr>
            <w:r>
              <w:rPr>
                <w:color w:val="000000"/>
                <w:shd w:val="clear" w:color="auto" w:fill="D9E2F3"/>
              </w:rPr>
              <w:t xml:space="preserve">If yes, please elaborate: </w:t>
            </w:r>
            <w:r>
              <w:rPr>
                <w:color w:val="000000"/>
                <w:shd w:val="clear" w:color="auto" w:fill="D9E2F3"/>
              </w:rPr>
              <w:br/>
            </w:r>
            <w:r>
              <w:rPr>
                <w:rFonts w:ascii="EB Garamond" w:eastAsia="EB Garamond" w:hAnsi="EB Garamond" w:cs="EB Garamond"/>
                <w:color w:val="000000"/>
              </w:rPr>
              <w:t xml:space="preserve">See status for dates of application details at </w:t>
            </w:r>
            <w:hyperlink r:id="rId122">
              <w:r>
                <w:rPr>
                  <w:rFonts w:ascii="EB Garamond" w:eastAsia="EB Garamond" w:hAnsi="EB Garamond" w:cs="EB Garamond"/>
                  <w:color w:val="1155CC"/>
                  <w:u w:val="single"/>
                </w:rPr>
                <w:t>acreage-situation-report_1781450569193.pdf</w:t>
              </w:r>
            </w:hyperlink>
            <w:r>
              <w:rPr>
                <w:rFonts w:ascii="EB Garamond" w:eastAsia="EB Garamond" w:hAnsi="EB Garamond" w:cs="EB Garamond"/>
              </w:rPr>
              <w:t xml:space="preserve"> </w:t>
            </w:r>
          </w:p>
          <w:p w14:paraId="50F8F4CB" w14:textId="77777777" w:rsidR="00BB62F4" w:rsidRDefault="00BB62F4">
            <w:pPr>
              <w:pBdr>
                <w:top w:val="nil"/>
                <w:left w:val="nil"/>
                <w:bottom w:val="nil"/>
                <w:right w:val="nil"/>
                <w:between w:val="nil"/>
              </w:pBdr>
              <w:shd w:val="clear" w:color="auto" w:fill="FFFFFF"/>
              <w:ind w:left="1016"/>
              <w:rPr>
                <w:color w:val="000000"/>
              </w:rPr>
            </w:pPr>
          </w:p>
          <w:p w14:paraId="79D3F9FE" w14:textId="77777777" w:rsidR="00BB62F4" w:rsidRDefault="00000000">
            <w:pPr>
              <w:numPr>
                <w:ilvl w:val="0"/>
                <w:numId w:val="9"/>
              </w:numPr>
              <w:pBdr>
                <w:top w:val="nil"/>
                <w:left w:val="nil"/>
                <w:bottom w:val="nil"/>
                <w:right w:val="nil"/>
                <w:between w:val="nil"/>
              </w:pBdr>
              <w:shd w:val="clear" w:color="auto" w:fill="FFFFFF"/>
              <w:rPr>
                <w:color w:val="000000"/>
              </w:rPr>
            </w:pPr>
            <w:r>
              <w:rPr>
                <w:color w:val="000000"/>
                <w:u w:val="single"/>
              </w:rPr>
              <w:t>Duration</w:t>
            </w:r>
            <w:r>
              <w:rPr>
                <w:color w:val="000000"/>
              </w:rPr>
              <w:t xml:space="preserve"> of the license</w:t>
            </w:r>
          </w:p>
          <w:p w14:paraId="542A74D7" w14:textId="77777777" w:rsidR="00BB62F4" w:rsidRDefault="00000000">
            <w:pPr>
              <w:pBdr>
                <w:top w:val="nil"/>
                <w:left w:val="nil"/>
                <w:bottom w:val="nil"/>
                <w:right w:val="nil"/>
                <w:between w:val="nil"/>
              </w:pBdr>
              <w:shd w:val="clear" w:color="auto" w:fill="FFFFFF"/>
              <w:ind w:left="1080"/>
              <w:rPr>
                <w:color w:val="000000"/>
                <w:shd w:val="clear" w:color="auto" w:fill="D9E2F3"/>
              </w:rPr>
            </w:pPr>
            <w:r>
              <w:rPr>
                <w:rFonts w:ascii="MS Gothic" w:eastAsia="MS Gothic" w:hAnsi="MS Gothic" w:cs="MS Gothic"/>
                <w:color w:val="000000"/>
                <w:highlight w:val="white"/>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7BD147C6" w14:textId="77777777" w:rsidR="00BB62F4" w:rsidRDefault="00000000">
            <w:pPr>
              <w:pBdr>
                <w:top w:val="nil"/>
                <w:left w:val="nil"/>
                <w:bottom w:val="nil"/>
                <w:right w:val="nil"/>
                <w:between w:val="nil"/>
              </w:pBdr>
              <w:shd w:val="clear" w:color="auto" w:fill="FFFFFF"/>
              <w:ind w:left="1016"/>
              <w:rPr>
                <w:color w:val="000000"/>
                <w:shd w:val="clear" w:color="auto" w:fill="D9E2F3"/>
              </w:rPr>
            </w:pPr>
            <w:r>
              <w:rPr>
                <w:color w:val="000000"/>
                <w:shd w:val="clear" w:color="auto" w:fill="D9E2F3"/>
              </w:rPr>
              <w:t xml:space="preserve">If yes, please elaborate: </w:t>
            </w:r>
          </w:p>
          <w:p w14:paraId="26BB77CF" w14:textId="77777777" w:rsidR="00BB62F4" w:rsidRDefault="00000000">
            <w:pPr>
              <w:pBdr>
                <w:top w:val="nil"/>
                <w:left w:val="nil"/>
                <w:bottom w:val="nil"/>
                <w:right w:val="nil"/>
                <w:between w:val="nil"/>
              </w:pBdr>
              <w:shd w:val="clear" w:color="auto" w:fill="FFFFFF"/>
              <w:ind w:left="1016"/>
              <w:rPr>
                <w:color w:val="000000"/>
              </w:rPr>
            </w:pPr>
            <w:r>
              <w:rPr>
                <w:rFonts w:ascii="EB Garamond" w:eastAsia="EB Garamond" w:hAnsi="EB Garamond" w:cs="EB Garamond"/>
                <w:color w:val="000000"/>
              </w:rPr>
              <w:t xml:space="preserve">See status for dates of application details at </w:t>
            </w:r>
            <w:hyperlink r:id="rId123">
              <w:r>
                <w:rPr>
                  <w:rFonts w:ascii="EB Garamond" w:eastAsia="EB Garamond" w:hAnsi="EB Garamond" w:cs="EB Garamond"/>
                  <w:color w:val="1155CC"/>
                  <w:u w:val="single"/>
                </w:rPr>
                <w:t>acreage-situation-report_1781450569193.pdf</w:t>
              </w:r>
            </w:hyperlink>
            <w:r>
              <w:rPr>
                <w:rFonts w:ascii="EB Garamond" w:eastAsia="EB Garamond" w:hAnsi="EB Garamond" w:cs="EB Garamond"/>
              </w:rPr>
              <w:t xml:space="preserve"> </w:t>
            </w:r>
          </w:p>
          <w:p w14:paraId="00F003DD" w14:textId="77777777" w:rsidR="00BB62F4" w:rsidRDefault="00000000">
            <w:pPr>
              <w:numPr>
                <w:ilvl w:val="0"/>
                <w:numId w:val="9"/>
              </w:numPr>
              <w:pBdr>
                <w:top w:val="nil"/>
                <w:left w:val="nil"/>
                <w:bottom w:val="nil"/>
                <w:right w:val="nil"/>
                <w:between w:val="nil"/>
              </w:pBdr>
              <w:shd w:val="clear" w:color="auto" w:fill="FFFFFF"/>
              <w:rPr>
                <w:color w:val="000000"/>
              </w:rPr>
            </w:pPr>
            <w:r>
              <w:rPr>
                <w:color w:val="000000"/>
              </w:rPr>
              <w:t xml:space="preserve">The </w:t>
            </w:r>
            <w:r>
              <w:rPr>
                <w:color w:val="000000"/>
                <w:u w:val="single"/>
              </w:rPr>
              <w:t>commodity</w:t>
            </w:r>
            <w:r>
              <w:rPr>
                <w:color w:val="000000"/>
              </w:rPr>
              <w:t xml:space="preserve"> being produced: </w:t>
            </w:r>
          </w:p>
          <w:p w14:paraId="12D0E997" w14:textId="77777777" w:rsidR="00BB62F4" w:rsidRDefault="00000000">
            <w:pPr>
              <w:pBdr>
                <w:top w:val="nil"/>
                <w:left w:val="nil"/>
                <w:bottom w:val="nil"/>
                <w:right w:val="nil"/>
                <w:between w:val="nil"/>
              </w:pBdr>
              <w:shd w:val="clear" w:color="auto" w:fill="FFFFFF"/>
              <w:ind w:left="1080"/>
              <w:rPr>
                <w:color w:val="000000"/>
                <w:shd w:val="clear" w:color="auto" w:fill="D9E2F3"/>
              </w:rPr>
            </w:pPr>
            <w:r>
              <w:rPr>
                <w:rFonts w:ascii="MS Gothic" w:eastAsia="MS Gothic" w:hAnsi="MS Gothic" w:cs="MS Gothic"/>
                <w:color w:val="000000"/>
                <w:highlight w:val="white"/>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739DF116" w14:textId="77777777" w:rsidR="00BB62F4" w:rsidRDefault="00000000">
            <w:pPr>
              <w:pBdr>
                <w:top w:val="nil"/>
                <w:left w:val="nil"/>
                <w:bottom w:val="nil"/>
                <w:right w:val="nil"/>
                <w:between w:val="nil"/>
              </w:pBdr>
              <w:shd w:val="clear" w:color="auto" w:fill="FFFFFF"/>
              <w:ind w:left="1016"/>
              <w:rPr>
                <w:color w:val="000000"/>
                <w:shd w:val="clear" w:color="auto" w:fill="D9E2F3"/>
              </w:rPr>
            </w:pPr>
            <w:r>
              <w:rPr>
                <w:color w:val="000000"/>
                <w:shd w:val="clear" w:color="auto" w:fill="D9E2F3"/>
              </w:rPr>
              <w:t xml:space="preserve">If yes, please elaborate: </w:t>
            </w:r>
          </w:p>
          <w:p w14:paraId="0D36DD48" w14:textId="77777777" w:rsidR="00BB62F4" w:rsidRDefault="00000000">
            <w:pPr>
              <w:shd w:val="clear" w:color="auto" w:fill="FFFFFF"/>
              <w:ind w:left="1016"/>
              <w:rPr>
                <w:rFonts w:ascii="Times New Roman" w:eastAsia="Times New Roman" w:hAnsi="Times New Roman" w:cs="Times New Roman"/>
                <w:sz w:val="24"/>
                <w:szCs w:val="24"/>
              </w:rPr>
            </w:pPr>
            <w:r>
              <w:rPr>
                <w:rFonts w:ascii="EB Garamond" w:eastAsia="EB Garamond" w:hAnsi="EB Garamond" w:cs="EB Garamond"/>
                <w:color w:val="000000"/>
              </w:rPr>
              <w:t xml:space="preserve">See status for dates of application details at </w:t>
            </w:r>
            <w:hyperlink r:id="rId124">
              <w:r>
                <w:rPr>
                  <w:rFonts w:ascii="EB Garamond" w:eastAsia="EB Garamond" w:hAnsi="EB Garamond" w:cs="EB Garamond"/>
                  <w:color w:val="1155CC"/>
                  <w:u w:val="single"/>
                </w:rPr>
                <w:t>acreage-situation-report_1781450569193.pdf</w:t>
              </w:r>
            </w:hyperlink>
            <w:r>
              <w:rPr>
                <w:rFonts w:ascii="EB Garamond" w:eastAsia="EB Garamond" w:hAnsi="EB Garamond" w:cs="EB Garamond"/>
              </w:rPr>
              <w:t xml:space="preserve"> </w:t>
            </w:r>
          </w:p>
          <w:p w14:paraId="0CD3CDD4" w14:textId="77777777" w:rsidR="00BB62F4" w:rsidRDefault="00BB62F4">
            <w:pPr>
              <w:shd w:val="clear" w:color="auto" w:fill="FFFFFF"/>
            </w:pPr>
          </w:p>
          <w:p w14:paraId="348BFA1C" w14:textId="77777777" w:rsidR="00BB62F4" w:rsidRDefault="00000000">
            <w:pPr>
              <w:rPr>
                <w:b/>
                <w:bCs/>
              </w:rPr>
            </w:pPr>
            <w:r>
              <w:t>If any of the questions were responded with ‘</w:t>
            </w:r>
            <w:r>
              <w:rPr>
                <w:u w:val="single"/>
              </w:rPr>
              <w:t>yes’</w:t>
            </w:r>
            <w:r>
              <w:t xml:space="preserve">, </w:t>
            </w:r>
            <w:r>
              <w:rPr>
                <w:b/>
                <w:bCs/>
              </w:rPr>
              <w:t>have those gaps been clearly identified, for example through EITI reporting?</w:t>
            </w:r>
          </w:p>
          <w:p w14:paraId="7906D192"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 xml:space="preserve">No </w:t>
            </w:r>
          </w:p>
          <w:p w14:paraId="15A2C03C" w14:textId="77777777" w:rsidR="00BB62F4" w:rsidRDefault="00000000">
            <w:pPr>
              <w:pBdr>
                <w:top w:val="nil"/>
                <w:left w:val="nil"/>
                <w:bottom w:val="nil"/>
                <w:right w:val="nil"/>
                <w:between w:val="nil"/>
              </w:pBdr>
              <w:shd w:val="clear" w:color="auto" w:fill="D9E2F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w:t>
            </w:r>
            <w:proofErr w:type="gramStart"/>
            <w:r>
              <w:rPr>
                <w:rFonts w:ascii="EB Garamond" w:eastAsia="EB Garamond" w:hAnsi="EB Garamond" w:cs="EB Garamond"/>
                <w:color w:val="000000"/>
              </w:rPr>
              <w:t>Yes</w:t>
            </w:r>
            <w:proofErr w:type="gramEnd"/>
            <w:r>
              <w:rPr>
                <w:rFonts w:ascii="EB Garamond" w:eastAsia="EB Garamond" w:hAnsi="EB Garamond" w:cs="EB Garamond"/>
                <w:color w:val="000000"/>
              </w:rPr>
              <w:t xml:space="preserve"> see section 2.3 of the 2023 oil and Gas Report for details</w:t>
            </w:r>
          </w:p>
          <w:p w14:paraId="1FB56A62" w14:textId="77777777" w:rsidR="00BB62F4" w:rsidRDefault="00BB62F4">
            <w:pPr>
              <w:shd w:val="clear" w:color="auto" w:fill="D9E2F3"/>
            </w:pPr>
          </w:p>
          <w:p w14:paraId="0DBEE801"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this (source):</w:t>
            </w:r>
          </w:p>
          <w:p w14:paraId="6FD71CE4" w14:textId="77777777" w:rsidR="00BB62F4" w:rsidRDefault="00000000">
            <w:pPr>
              <w:pBdr>
                <w:top w:val="nil"/>
                <w:left w:val="nil"/>
                <w:bottom w:val="nil"/>
                <w:right w:val="nil"/>
                <w:between w:val="nil"/>
              </w:pBdr>
              <w:shd w:val="clear" w:color="auto" w:fill="FFFFFF"/>
              <w:ind w:left="360"/>
              <w:rPr>
                <w:i/>
                <w:iCs/>
                <w:color w:val="000000"/>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r>
              <w:rPr>
                <w:color w:val="000000"/>
                <w:shd w:val="clear" w:color="auto" w:fill="D9E2F3"/>
              </w:rPr>
              <w:t xml:space="preserve">. </w:t>
            </w:r>
            <w:r>
              <w:rPr>
                <w:i/>
                <w:iCs/>
                <w:color w:val="000000"/>
                <w:shd w:val="clear" w:color="auto" w:fill="D9E2F3"/>
              </w:rPr>
              <w:t xml:space="preserve">This could include an assessment of the supreme audit </w:t>
            </w:r>
            <w:proofErr w:type="gramStart"/>
            <w:r>
              <w:rPr>
                <w:i/>
                <w:iCs/>
                <w:color w:val="000000"/>
                <w:shd w:val="clear" w:color="auto" w:fill="D9E2F3"/>
              </w:rPr>
              <w:t>institution  or</w:t>
            </w:r>
            <w:proofErr w:type="gramEnd"/>
            <w:r>
              <w:rPr>
                <w:i/>
                <w:iCs/>
                <w:color w:val="000000"/>
                <w:shd w:val="clear" w:color="auto" w:fill="D9E2F3"/>
              </w:rPr>
              <w:t xml:space="preserve"> other oversight entity.</w:t>
            </w:r>
          </w:p>
          <w:p w14:paraId="2A7C4F51" w14:textId="77777777" w:rsidR="00BB62F4" w:rsidRDefault="00000000">
            <w:pPr>
              <w:pBdr>
                <w:top w:val="nil"/>
                <w:left w:val="nil"/>
                <w:bottom w:val="nil"/>
                <w:right w:val="nil"/>
                <w:between w:val="nil"/>
              </w:pBdr>
              <w:shd w:val="clear" w:color="auto" w:fill="FFFFFF"/>
              <w:ind w:left="360"/>
              <w:rPr>
                <w:color w:val="000000"/>
              </w:rPr>
            </w:pPr>
            <w:r>
              <w:rPr>
                <w:color w:val="000000"/>
              </w:rPr>
              <w:t>AND / OR</w:t>
            </w:r>
          </w:p>
          <w:p w14:paraId="7DFB8CE5" w14:textId="77777777" w:rsidR="00BB62F4" w:rsidRDefault="00000000">
            <w:pPr>
              <w:ind w:left="343"/>
              <w:rPr>
                <w:shd w:val="clear" w:color="auto" w:fill="D9E2F3"/>
              </w:rPr>
            </w:pPr>
            <w:r>
              <w:t xml:space="preserve">Other sources: </w:t>
            </w:r>
            <w:r>
              <w:rPr>
                <w:shd w:val="clear" w:color="auto" w:fill="D9E2F3"/>
              </w:rPr>
              <w:t>EITI Report (year and page number), EITI website etc</w:t>
            </w:r>
          </w:p>
          <w:p w14:paraId="36592F6B" w14:textId="77777777" w:rsidR="00BB62F4" w:rsidRDefault="00000000">
            <w:pPr>
              <w:numPr>
                <w:ilvl w:val="0"/>
                <w:numId w:val="33"/>
              </w:numPr>
              <w:ind w:left="1063"/>
              <w:rPr>
                <w:rFonts w:ascii="EB Garamond" w:eastAsia="EB Garamond" w:hAnsi="EB Garamond" w:cs="EB Garamond"/>
                <w:b/>
                <w:bCs/>
                <w:color w:val="000000"/>
              </w:rPr>
            </w:pPr>
            <w:r>
              <w:rPr>
                <w:rFonts w:ascii="EB Garamond" w:eastAsia="EB Garamond" w:hAnsi="EB Garamond" w:cs="EB Garamond"/>
                <w:color w:val="000000"/>
              </w:rPr>
              <w:t>Non-compliance with sections 219, 222, 223, 224 of the PIA, 2021.</w:t>
            </w:r>
            <w:r>
              <w:rPr>
                <w:rFonts w:ascii="EB Garamond" w:eastAsia="EB Garamond" w:hAnsi="EB Garamond" w:cs="EB Garamond"/>
                <w:color w:val="000000"/>
              </w:rPr>
              <w:br/>
            </w:r>
            <w:hyperlink r:id="rId125">
              <w:r>
                <w:rPr>
                  <w:rFonts w:ascii="EB Garamond" w:eastAsia="EB Garamond" w:hAnsi="EB Garamond" w:cs="EB Garamond"/>
                  <w:color w:val="0000FF"/>
                  <w:u w:val="single"/>
                </w:rPr>
                <w:t>NEITI 2023 Oil and Gas Report</w:t>
              </w:r>
            </w:hyperlink>
            <w:r>
              <w:rPr>
                <w:rFonts w:ascii="EB Garamond" w:eastAsia="EB Garamond" w:hAnsi="EB Garamond" w:cs="EB Garamond"/>
                <w:color w:val="000000"/>
              </w:rPr>
              <w:t xml:space="preserve"> (Chapter 9, Table 84, item 2: Observations and Recommendations for 2022-2023 Extractive Reporting.</w:t>
            </w:r>
          </w:p>
          <w:p w14:paraId="167CEA06" w14:textId="77777777" w:rsidR="00BB62F4" w:rsidRDefault="00BB62F4">
            <w:pPr>
              <w:ind w:left="343"/>
              <w:rPr>
                <w:b/>
                <w:bCs/>
              </w:rPr>
            </w:pPr>
          </w:p>
        </w:tc>
      </w:tr>
      <w:tr w:rsidR="00BB62F4" w14:paraId="5AF1E4B8" w14:textId="77777777">
        <w:trPr>
          <w:trHeight w:val="300"/>
        </w:trPr>
        <w:tc>
          <w:tcPr>
            <w:tcW w:w="2240" w:type="dxa"/>
            <w:shd w:val="clear" w:color="auto" w:fill="B4C6E7"/>
          </w:tcPr>
          <w:p w14:paraId="6D3A4FD4" w14:textId="77777777" w:rsidR="00BB62F4" w:rsidRDefault="00000000">
            <w:pPr>
              <w:rPr>
                <w:b/>
                <w:bCs/>
              </w:rPr>
            </w:pPr>
            <w:r>
              <w:rPr>
                <w:b/>
                <w:bCs/>
              </w:rPr>
              <w:lastRenderedPageBreak/>
              <w:t>Expected</w:t>
            </w:r>
          </w:p>
        </w:tc>
        <w:tc>
          <w:tcPr>
            <w:tcW w:w="6822" w:type="dxa"/>
            <w:shd w:val="clear" w:color="auto" w:fill="B4C6E7"/>
          </w:tcPr>
          <w:p w14:paraId="71155885" w14:textId="77777777" w:rsidR="00BB62F4" w:rsidRDefault="00000000">
            <w:pPr>
              <w:rPr>
                <w:b/>
                <w:bCs/>
              </w:rPr>
            </w:pPr>
            <w:r>
              <w:rPr>
                <w:b/>
                <w:bCs/>
              </w:rPr>
              <w:t>#2.3.</w:t>
            </w:r>
            <w:proofErr w:type="gramStart"/>
            <w:r>
              <w:rPr>
                <w:b/>
                <w:bCs/>
              </w:rPr>
              <w:t>b.iv</w:t>
            </w:r>
            <w:proofErr w:type="gramEnd"/>
            <w:r>
              <w:rPr>
                <w:b/>
                <w:bCs/>
              </w:rPr>
              <w:t xml:space="preserve"> – Scope of the register/cadastre system</w:t>
            </w:r>
          </w:p>
        </w:tc>
      </w:tr>
      <w:tr w:rsidR="00BB62F4" w14:paraId="7DC2C9E8" w14:textId="77777777">
        <w:tc>
          <w:tcPr>
            <w:tcW w:w="2240" w:type="dxa"/>
          </w:tcPr>
          <w:p w14:paraId="0CE0512C" w14:textId="77777777" w:rsidR="00BB62F4" w:rsidRDefault="00000000">
            <w:pPr>
              <w:rPr>
                <w:i/>
                <w:iCs/>
              </w:rPr>
            </w:pPr>
            <w:r>
              <w:rPr>
                <w:i/>
                <w:iCs/>
              </w:rPr>
              <w:t>Availability</w:t>
            </w:r>
          </w:p>
        </w:tc>
        <w:tc>
          <w:tcPr>
            <w:tcW w:w="6822" w:type="dxa"/>
          </w:tcPr>
          <w:p w14:paraId="1496AECC" w14:textId="77777777" w:rsidR="00BB62F4" w:rsidRDefault="00000000">
            <w:pPr>
              <w:rPr>
                <w:b/>
                <w:bCs/>
              </w:rPr>
            </w:pPr>
            <w:r>
              <w:t xml:space="preserve">Does the register or cadastre include information about licenses held </w:t>
            </w:r>
            <w:r>
              <w:rPr>
                <w:i/>
                <w:iCs/>
              </w:rPr>
              <w:t>all companies</w:t>
            </w:r>
            <w:r>
              <w:t xml:space="preserve">, including non-material companies </w:t>
            </w:r>
            <w:r>
              <w:rPr>
                <w:color w:val="808080"/>
              </w:rPr>
              <w:t>(where their payments fall below the agreed materiality threshold)</w:t>
            </w:r>
            <w:r>
              <w:t>?</w:t>
            </w:r>
          </w:p>
          <w:p w14:paraId="73BC8938" w14:textId="77777777" w:rsidR="00BB62F4" w:rsidRDefault="00000000">
            <w:pPr>
              <w:numPr>
                <w:ilvl w:val="0"/>
                <w:numId w:val="1"/>
              </w:numPr>
              <w:pBdr>
                <w:top w:val="nil"/>
                <w:left w:val="nil"/>
                <w:bottom w:val="nil"/>
                <w:right w:val="nil"/>
                <w:between w:val="nil"/>
              </w:pBdr>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sdt>
              <w:sdtPr>
                <w:tag w:val="goog_rdk_9"/>
                <w:id w:val="-427213778"/>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No</w:t>
            </w:r>
          </w:p>
          <w:p w14:paraId="22E923A1" w14:textId="77777777" w:rsidR="00BB62F4" w:rsidRDefault="00000000">
            <w:pPr>
              <w:rPr>
                <w:b/>
                <w:bCs/>
              </w:rPr>
            </w:pPr>
            <w:r>
              <w:rPr>
                <w:b/>
                <w:bCs/>
              </w:rPr>
              <w:br/>
              <w:t>If ‘No’ – is the lack of comprehensive publication due to legal or practical barriers?</w:t>
            </w:r>
          </w:p>
          <w:p w14:paraId="65089BBF"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164BDA70" w14:textId="77777777" w:rsidR="00BB62F4" w:rsidRDefault="00000000">
            <w:r>
              <w:t xml:space="preserve">If </w:t>
            </w:r>
            <w:r>
              <w:rPr>
                <w:u w:val="single"/>
              </w:rPr>
              <w:t>yes</w:t>
            </w:r>
            <w:r>
              <w:t>, explain the MSG’s plans to overcome barriers to disclosure of all of the above information:</w:t>
            </w:r>
          </w:p>
          <w:p w14:paraId="7707AB50" w14:textId="77777777" w:rsidR="00BB62F4" w:rsidRDefault="00000000">
            <w:pPr>
              <w:rPr>
                <w:i/>
                <w:iCs/>
                <w:shd w:val="clear" w:color="auto" w:fill="D9E2F3"/>
              </w:rPr>
            </w:pPr>
            <w:r>
              <w:rPr>
                <w:shd w:val="clear" w:color="auto" w:fill="D9E2F3"/>
              </w:rPr>
              <w:t xml:space="preserve">Explain: </w:t>
            </w:r>
            <w:r>
              <w:rPr>
                <w:i/>
                <w:iCs/>
                <w:shd w:val="clear" w:color="auto" w:fill="D9E2F3"/>
              </w:rPr>
              <w:t xml:space="preserve">can include a reference to work plan activities, MSG meeting minutes etc. if this is documented elsewhere through EITI implementation, or an explanation why </w:t>
            </w:r>
          </w:p>
          <w:p w14:paraId="7C4417D7" w14:textId="77777777" w:rsidR="00BB62F4" w:rsidRDefault="00000000">
            <w:pPr>
              <w:numPr>
                <w:ilvl w:val="0"/>
                <w:numId w:val="34"/>
              </w:numPr>
              <w:rPr>
                <w:rFonts w:ascii="EB Garamond" w:eastAsia="EB Garamond" w:hAnsi="EB Garamond" w:cs="EB Garamond"/>
                <w:color w:val="000000"/>
              </w:rPr>
            </w:pPr>
            <w:r>
              <w:rPr>
                <w:rFonts w:ascii="EB Garamond" w:eastAsia="EB Garamond" w:hAnsi="EB Garamond" w:cs="EB Garamond"/>
                <w:color w:val="000000"/>
              </w:rPr>
              <w:t xml:space="preserve">The </w:t>
            </w:r>
            <w:hyperlink r:id="rId126">
              <w:r>
                <w:rPr>
                  <w:rFonts w:ascii="EB Garamond" w:eastAsia="EB Garamond" w:hAnsi="EB Garamond" w:cs="EB Garamond"/>
                  <w:color w:val="1155CC"/>
                  <w:u w:val="single"/>
                </w:rPr>
                <w:t>acreage-situation-report_1781450569193.pdf</w:t>
              </w:r>
            </w:hyperlink>
            <w:r>
              <w:rPr>
                <w:rFonts w:ascii="EB Garamond" w:eastAsia="EB Garamond" w:hAnsi="EB Garamond" w:cs="EB Garamond"/>
              </w:rPr>
              <w:t xml:space="preserve"> </w:t>
            </w:r>
            <w:r>
              <w:rPr>
                <w:rFonts w:ascii="EB Garamond" w:eastAsia="EB Garamond" w:hAnsi="EB Garamond" w:cs="EB Garamond"/>
                <w:color w:val="000000"/>
              </w:rPr>
              <w:t xml:space="preserve">publicly available. However, the portal is in the process </w:t>
            </w:r>
            <w:proofErr w:type="gramStart"/>
            <w:r>
              <w:rPr>
                <w:rFonts w:ascii="EB Garamond" w:eastAsia="EB Garamond" w:hAnsi="EB Garamond" w:cs="EB Garamond"/>
                <w:color w:val="000000"/>
              </w:rPr>
              <w:t>of  being</w:t>
            </w:r>
            <w:proofErr w:type="gramEnd"/>
            <w:r>
              <w:rPr>
                <w:rFonts w:ascii="EB Garamond" w:eastAsia="EB Garamond" w:hAnsi="EB Garamond" w:cs="EB Garamond"/>
                <w:color w:val="000000"/>
              </w:rPr>
              <w:t xml:space="preserve"> upgraded to a Dynamic Acreage Management System (DAMS) since 2023.</w:t>
            </w:r>
          </w:p>
          <w:p w14:paraId="5B539601" w14:textId="77777777" w:rsidR="00BB62F4" w:rsidRDefault="00000000">
            <w:pPr>
              <w:numPr>
                <w:ilvl w:val="0"/>
                <w:numId w:val="34"/>
              </w:numPr>
              <w:rPr>
                <w:rFonts w:ascii="EB Garamond" w:eastAsia="EB Garamond" w:hAnsi="EB Garamond" w:cs="EB Garamond"/>
                <w:color w:val="000000"/>
              </w:rPr>
            </w:pPr>
            <w:r>
              <w:rPr>
                <w:rFonts w:ascii="EB Garamond" w:eastAsia="EB Garamond" w:hAnsi="EB Garamond" w:cs="EB Garamond"/>
                <w:color w:val="000000"/>
              </w:rPr>
              <w:t>NUPRC to establish and make publicly available comprehensive register incorporating the following</w:t>
            </w:r>
          </w:p>
          <w:p w14:paraId="30AE8ACB" w14:textId="77777777" w:rsidR="00BB62F4" w:rsidRDefault="00000000">
            <w:pPr>
              <w:numPr>
                <w:ilvl w:val="0"/>
                <w:numId w:val="35"/>
              </w:numPr>
              <w:ind w:left="1590"/>
              <w:rPr>
                <w:rFonts w:ascii="EB Garamond" w:eastAsia="EB Garamond" w:hAnsi="EB Garamond" w:cs="EB Garamond"/>
                <w:color w:val="000000"/>
              </w:rPr>
            </w:pPr>
            <w:r>
              <w:rPr>
                <w:rFonts w:ascii="EB Garamond" w:eastAsia="EB Garamond" w:hAnsi="EB Garamond" w:cs="EB Garamond"/>
                <w:color w:val="000000"/>
              </w:rPr>
              <w:t>Leases, licenses, permits and authorization issued, revoked, suspended, surrendered or withdrawn with any modification or exemptions granted. </w:t>
            </w:r>
          </w:p>
          <w:p w14:paraId="330F4CD6" w14:textId="77777777" w:rsidR="00BB62F4" w:rsidRDefault="00000000">
            <w:pPr>
              <w:numPr>
                <w:ilvl w:val="0"/>
                <w:numId w:val="35"/>
              </w:numPr>
              <w:ind w:left="1590"/>
              <w:rPr>
                <w:rFonts w:ascii="EB Garamond" w:eastAsia="EB Garamond" w:hAnsi="EB Garamond" w:cs="EB Garamond"/>
                <w:color w:val="000000"/>
              </w:rPr>
            </w:pPr>
            <w:r>
              <w:rPr>
                <w:rFonts w:ascii="EB Garamond" w:eastAsia="EB Garamond" w:hAnsi="EB Garamond" w:cs="EB Garamond"/>
                <w:color w:val="000000"/>
              </w:rPr>
              <w:t>Extension, transfer, surrender and revocation. </w:t>
            </w:r>
          </w:p>
          <w:p w14:paraId="6D038555" w14:textId="77777777" w:rsidR="00BB62F4" w:rsidRDefault="00000000">
            <w:pPr>
              <w:numPr>
                <w:ilvl w:val="0"/>
                <w:numId w:val="35"/>
              </w:numPr>
              <w:ind w:left="1590"/>
              <w:rPr>
                <w:rFonts w:ascii="EB Garamond" w:eastAsia="EB Garamond" w:hAnsi="EB Garamond" w:cs="EB Garamond"/>
                <w:color w:val="000000"/>
              </w:rPr>
            </w:pPr>
            <w:r>
              <w:rPr>
                <w:rFonts w:ascii="EB Garamond" w:eastAsia="EB Garamond" w:hAnsi="EB Garamond" w:cs="EB Garamond"/>
                <w:color w:val="000000"/>
              </w:rPr>
              <w:t>Exemption and relinquishment </w:t>
            </w:r>
          </w:p>
          <w:p w14:paraId="3B1EF4AE" w14:textId="77777777" w:rsidR="00BB62F4" w:rsidRDefault="00000000">
            <w:pPr>
              <w:numPr>
                <w:ilvl w:val="0"/>
                <w:numId w:val="35"/>
              </w:numPr>
              <w:ind w:left="1590"/>
              <w:rPr>
                <w:rFonts w:ascii="EB Garamond" w:eastAsia="EB Garamond" w:hAnsi="EB Garamond" w:cs="EB Garamond"/>
                <w:color w:val="000000"/>
              </w:rPr>
            </w:pPr>
            <w:r>
              <w:rPr>
                <w:rFonts w:ascii="EB Garamond" w:eastAsia="EB Garamond" w:hAnsi="EB Garamond" w:cs="EB Garamond"/>
                <w:color w:val="000000"/>
              </w:rPr>
              <w:t>Change of address and name </w:t>
            </w:r>
          </w:p>
          <w:p w14:paraId="2D9D9925" w14:textId="77777777" w:rsidR="00BB62F4" w:rsidRDefault="00000000">
            <w:pPr>
              <w:numPr>
                <w:ilvl w:val="0"/>
                <w:numId w:val="35"/>
              </w:numPr>
              <w:ind w:left="1590"/>
              <w:rPr>
                <w:rFonts w:ascii="EB Garamond" w:eastAsia="EB Garamond" w:hAnsi="EB Garamond" w:cs="EB Garamond"/>
                <w:color w:val="000000"/>
              </w:rPr>
            </w:pPr>
            <w:r>
              <w:rPr>
                <w:rFonts w:ascii="EB Garamond" w:eastAsia="EB Garamond" w:hAnsi="EB Garamond" w:cs="EB Garamond"/>
                <w:color w:val="000000"/>
              </w:rPr>
              <w:t>Other matter affecting the status of interest. </w:t>
            </w:r>
          </w:p>
          <w:p w14:paraId="1208E36E" w14:textId="77777777" w:rsidR="00BB62F4" w:rsidRDefault="00000000">
            <w:pPr>
              <w:numPr>
                <w:ilvl w:val="0"/>
                <w:numId w:val="35"/>
              </w:numPr>
              <w:ind w:left="1590"/>
              <w:rPr>
                <w:rFonts w:ascii="EB Garamond" w:eastAsia="EB Garamond" w:hAnsi="EB Garamond" w:cs="EB Garamond"/>
                <w:color w:val="000000"/>
              </w:rPr>
            </w:pPr>
            <w:r>
              <w:rPr>
                <w:rFonts w:ascii="EB Garamond" w:eastAsia="EB Garamond" w:hAnsi="EB Garamond" w:cs="EB Garamond"/>
                <w:color w:val="000000"/>
              </w:rPr>
              <w:t>Description of the rights vested in the person(s) named as the holder.</w:t>
            </w:r>
          </w:p>
          <w:p w14:paraId="7A09B545" w14:textId="77777777" w:rsidR="00BB62F4" w:rsidRDefault="00000000">
            <w:pPr>
              <w:numPr>
                <w:ilvl w:val="0"/>
                <w:numId w:val="35"/>
              </w:numPr>
              <w:ind w:left="1590"/>
              <w:rPr>
                <w:rFonts w:ascii="EB Garamond" w:eastAsia="EB Garamond" w:hAnsi="EB Garamond" w:cs="EB Garamond"/>
                <w:color w:val="000000"/>
              </w:rPr>
            </w:pPr>
            <w:r>
              <w:rPr>
                <w:rFonts w:ascii="EB Garamond" w:eastAsia="EB Garamond" w:hAnsi="EB Garamond" w:cs="EB Garamond"/>
                <w:color w:val="000000"/>
              </w:rPr>
              <w:lastRenderedPageBreak/>
              <w:t xml:space="preserve">Conditions and other provisions the holder </w:t>
            </w:r>
            <w:proofErr w:type="gramStart"/>
            <w:r>
              <w:rPr>
                <w:rFonts w:ascii="EB Garamond" w:eastAsia="EB Garamond" w:hAnsi="EB Garamond" w:cs="EB Garamond"/>
                <w:color w:val="000000"/>
              </w:rPr>
              <w:t>is</w:t>
            </w:r>
            <w:proofErr w:type="gramEnd"/>
            <w:r>
              <w:rPr>
                <w:rFonts w:ascii="EB Garamond" w:eastAsia="EB Garamond" w:hAnsi="EB Garamond" w:cs="EB Garamond"/>
                <w:color w:val="000000"/>
              </w:rPr>
              <w:t xml:space="preserve"> subjected to.</w:t>
            </w:r>
          </w:p>
          <w:p w14:paraId="617C0EC0" w14:textId="77777777" w:rsidR="00BB62F4" w:rsidRDefault="00000000">
            <w:pPr>
              <w:numPr>
                <w:ilvl w:val="0"/>
                <w:numId w:val="35"/>
              </w:numPr>
              <w:ind w:left="1590"/>
              <w:rPr>
                <w:rFonts w:ascii="EB Garamond" w:eastAsia="EB Garamond" w:hAnsi="EB Garamond" w:cs="EB Garamond"/>
                <w:color w:val="000000"/>
              </w:rPr>
            </w:pPr>
            <w:r>
              <w:rPr>
                <w:rFonts w:ascii="EB Garamond" w:eastAsia="EB Garamond" w:hAnsi="EB Garamond" w:cs="EB Garamond"/>
                <w:color w:val="000000"/>
              </w:rPr>
              <w:t>Public accessibility during designated hours and days</w:t>
            </w:r>
          </w:p>
          <w:p w14:paraId="6F4ED129" w14:textId="77777777" w:rsidR="00BB62F4" w:rsidRDefault="00000000">
            <w:pPr>
              <w:numPr>
                <w:ilvl w:val="0"/>
                <w:numId w:val="35"/>
              </w:numPr>
              <w:ind w:left="1590"/>
              <w:rPr>
                <w:rFonts w:ascii="EB Garamond" w:eastAsia="EB Garamond" w:hAnsi="EB Garamond" w:cs="EB Garamond"/>
                <w:color w:val="000000"/>
              </w:rPr>
            </w:pPr>
            <w:r>
              <w:rPr>
                <w:rFonts w:ascii="EB Garamond" w:eastAsia="EB Garamond" w:hAnsi="EB Garamond" w:cs="EB Garamond"/>
                <w:color w:val="000000"/>
              </w:rPr>
              <w:t>Electronically up to date</w:t>
            </w:r>
          </w:p>
          <w:p w14:paraId="3DBB03F0"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rPr>
              <w:t xml:space="preserve">Source: </w:t>
            </w:r>
            <w:hyperlink r:id="rId127">
              <w:r>
                <w:rPr>
                  <w:rFonts w:ascii="EB Garamond" w:eastAsia="EB Garamond" w:hAnsi="EB Garamond" w:cs="EB Garamond"/>
                  <w:color w:val="0000FF"/>
                  <w:u w:val="single"/>
                </w:rPr>
                <w:t>NEITI 2023 Oil and Gas Report</w:t>
              </w:r>
            </w:hyperlink>
            <w:r>
              <w:rPr>
                <w:rFonts w:ascii="EB Garamond" w:eastAsia="EB Garamond" w:hAnsi="EB Garamond" w:cs="EB Garamond"/>
                <w:color w:val="000000"/>
              </w:rPr>
              <w:t xml:space="preserve"> (Chapter 9, Table 84, item 2: Observations and Recommendations for 2022-2023 Extractive Reporting).</w:t>
            </w:r>
          </w:p>
          <w:p w14:paraId="4A92D359" w14:textId="77777777" w:rsidR="00BB62F4" w:rsidRDefault="00BB62F4"/>
        </w:tc>
      </w:tr>
      <w:tr w:rsidR="00BB62F4" w14:paraId="24993B71" w14:textId="77777777">
        <w:tc>
          <w:tcPr>
            <w:tcW w:w="2240" w:type="dxa"/>
            <w:shd w:val="clear" w:color="auto" w:fill="B4C6E7"/>
          </w:tcPr>
          <w:p w14:paraId="34C8BB8C" w14:textId="77777777" w:rsidR="00BB62F4" w:rsidRDefault="00000000">
            <w:r>
              <w:rPr>
                <w:b/>
                <w:bCs/>
              </w:rPr>
              <w:lastRenderedPageBreak/>
              <w:t>Required</w:t>
            </w:r>
          </w:p>
        </w:tc>
        <w:tc>
          <w:tcPr>
            <w:tcW w:w="6822" w:type="dxa"/>
            <w:shd w:val="clear" w:color="auto" w:fill="B4C6E7"/>
          </w:tcPr>
          <w:p w14:paraId="13CFC3DA" w14:textId="77777777" w:rsidR="00BB62F4" w:rsidRDefault="00000000">
            <w:r>
              <w:rPr>
                <w:b/>
                <w:bCs/>
              </w:rPr>
              <w:t>#2.</w:t>
            </w:r>
            <w:proofErr w:type="gramStart"/>
            <w:r>
              <w:rPr>
                <w:b/>
                <w:bCs/>
              </w:rPr>
              <w:t>3.c.</w:t>
            </w:r>
            <w:proofErr w:type="gramEnd"/>
            <w:r>
              <w:rPr>
                <w:b/>
                <w:bCs/>
              </w:rPr>
              <w:t xml:space="preserve">    Disclosure of gaps</w:t>
            </w:r>
          </w:p>
        </w:tc>
      </w:tr>
      <w:tr w:rsidR="00BB62F4" w14:paraId="542A5932" w14:textId="77777777">
        <w:tc>
          <w:tcPr>
            <w:tcW w:w="2240" w:type="dxa"/>
          </w:tcPr>
          <w:p w14:paraId="258A2F33" w14:textId="77777777" w:rsidR="00BB62F4" w:rsidRDefault="00000000">
            <w:pPr>
              <w:rPr>
                <w:i/>
                <w:iCs/>
              </w:rPr>
            </w:pPr>
            <w:r>
              <w:rPr>
                <w:i/>
                <w:iCs/>
              </w:rPr>
              <w:t>Publication of missing information</w:t>
            </w:r>
          </w:p>
        </w:tc>
        <w:tc>
          <w:tcPr>
            <w:tcW w:w="6822" w:type="dxa"/>
          </w:tcPr>
          <w:p w14:paraId="41418681" w14:textId="77777777" w:rsidR="00BB62F4" w:rsidRDefault="00000000">
            <w:r>
              <w:t>If there is no publicly accessible register or cadastre system (</w:t>
            </w:r>
            <w:hyperlink w:anchor="_heading=h.r13eq75s3xdz">
              <w:r>
                <w:rPr>
                  <w:color w:val="0000FF"/>
                  <w:u w:val="single"/>
                </w:rPr>
                <w:t>see question #2.</w:t>
              </w:r>
              <w:proofErr w:type="gramStart"/>
              <w:r>
                <w:rPr>
                  <w:color w:val="0000FF"/>
                  <w:u w:val="single"/>
                </w:rPr>
                <w:t>3.b.</w:t>
              </w:r>
              <w:proofErr w:type="gramEnd"/>
              <w:r>
                <w:rPr>
                  <w:color w:val="0000FF"/>
                  <w:u w:val="single"/>
                </w:rPr>
                <w:t xml:space="preserve">  Publicly available register or cadastre system(s)</w:t>
              </w:r>
            </w:hyperlink>
            <w:r>
              <w:t xml:space="preserve">), </w:t>
            </w:r>
          </w:p>
          <w:p w14:paraId="09D1C793" w14:textId="77777777" w:rsidR="00BB62F4" w:rsidRDefault="00000000">
            <w:pPr>
              <w:rPr>
                <w:b/>
                <w:bCs/>
              </w:rPr>
            </w:pPr>
            <w:r>
              <w:rPr>
                <w:b/>
                <w:bCs/>
              </w:rPr>
              <w:t xml:space="preserve">or </w:t>
            </w:r>
          </w:p>
          <w:p w14:paraId="4FE21B88" w14:textId="77777777" w:rsidR="00BB62F4" w:rsidRDefault="00000000">
            <w:r>
              <w:t>if the publicly available information contains significant gaps</w:t>
            </w:r>
            <w:r>
              <w:rPr>
                <w:vertAlign w:val="superscript"/>
              </w:rPr>
              <w:footnoteReference w:id="5"/>
            </w:r>
            <w:r>
              <w:t xml:space="preserve">: </w:t>
            </w:r>
          </w:p>
          <w:p w14:paraId="30471509" w14:textId="77777777" w:rsidR="00BB62F4" w:rsidRDefault="00000000">
            <w:pPr>
              <w:rPr>
                <w:b/>
                <w:bCs/>
              </w:rPr>
            </w:pPr>
            <w:r>
              <w:rPr>
                <w:b/>
                <w:bCs/>
              </w:rPr>
              <w:t>Does the MSG disclose the missing information on licenses?</w:t>
            </w:r>
          </w:p>
          <w:p w14:paraId="31FED1F0" w14:textId="77777777" w:rsidR="00BB62F4" w:rsidRDefault="00000000">
            <w:r>
              <w:rPr>
                <w:rFonts w:ascii="MS Gothic" w:eastAsia="MS Gothic" w:hAnsi="MS Gothic" w:cs="MS Gothic"/>
              </w:rPr>
              <w:t>☒</w:t>
            </w:r>
            <w:r>
              <w:t xml:space="preserve"> </w:t>
            </w:r>
            <w:r>
              <w:rPr>
                <w:shd w:val="clear" w:color="auto" w:fill="D9E2F3"/>
              </w:rPr>
              <w:t>Yes</w:t>
            </w:r>
            <w:r>
              <w:t xml:space="preserve">           </w:t>
            </w:r>
            <w:sdt>
              <w:sdtPr>
                <w:tag w:val="goog_rdk_10"/>
                <w:id w:val="372252872"/>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sdt>
              <w:sdtPr>
                <w:tag w:val="goog_rdk_11"/>
                <w:id w:val="-1266237082"/>
              </w:sdtPr>
              <w:sdtContent>
                <w:r>
                  <w:rPr>
                    <w:rFonts w:ascii="Arial Unicode MS" w:eastAsia="Arial Unicode MS" w:hAnsi="Arial Unicode MS" w:cs="Arial Unicode MS"/>
                  </w:rPr>
                  <w:t>☐</w:t>
                </w:r>
              </w:sdtContent>
            </w:sdt>
            <w:r>
              <w:t xml:space="preserve"> </w:t>
            </w:r>
            <w:r>
              <w:rPr>
                <w:shd w:val="clear" w:color="auto" w:fill="D9E2F3"/>
              </w:rPr>
              <w:t>Not applicable</w:t>
            </w:r>
          </w:p>
          <w:p w14:paraId="17C8AB99" w14:textId="77777777" w:rsidR="00BB62F4" w:rsidRDefault="00000000">
            <w:r>
              <w:t>Did the MSG document efforts to strengthen these systems to either make the data publicly available in the first place?</w:t>
            </w:r>
          </w:p>
          <w:p w14:paraId="086BC408"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sdt>
              <w:sdtPr>
                <w:tag w:val="goog_rdk_12"/>
                <w:id w:val="-714320684"/>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sdt>
              <w:sdtPr>
                <w:tag w:val="goog_rdk_13"/>
                <w:id w:val="-1573408990"/>
              </w:sdtPr>
              <w:sdtContent>
                <w:r>
                  <w:rPr>
                    <w:rFonts w:ascii="Arial Unicode MS" w:eastAsia="Arial Unicode MS" w:hAnsi="Arial Unicode MS" w:cs="Arial Unicode MS"/>
                  </w:rPr>
                  <w:t>☐</w:t>
                </w:r>
              </w:sdtContent>
            </w:sdt>
            <w:r>
              <w:t xml:space="preserve"> </w:t>
            </w:r>
            <w:r>
              <w:rPr>
                <w:shd w:val="clear" w:color="auto" w:fill="D9E2F3"/>
              </w:rPr>
              <w:t>Not applicable</w:t>
            </w:r>
          </w:p>
          <w:p w14:paraId="294C2A45" w14:textId="77777777" w:rsidR="00BB62F4" w:rsidRDefault="00BB62F4"/>
          <w:p w14:paraId="69FE57DB" w14:textId="77777777" w:rsidR="00BB62F4" w:rsidRDefault="00000000">
            <w:pPr>
              <w:pBdr>
                <w:top w:val="nil"/>
                <w:left w:val="nil"/>
                <w:bottom w:val="nil"/>
                <w:right w:val="nil"/>
                <w:between w:val="nil"/>
              </w:pBdr>
              <w:shd w:val="clear" w:color="auto" w:fill="FFFFFF"/>
              <w:rPr>
                <w:b/>
                <w:bCs/>
                <w:i/>
                <w:iCs/>
                <w:color w:val="000000"/>
              </w:rPr>
            </w:pPr>
            <w:r>
              <w:rPr>
                <w:b/>
                <w:bCs/>
                <w:i/>
                <w:iCs/>
                <w:color w:val="000000"/>
              </w:rPr>
              <w:t>Where to find this (source):</w:t>
            </w:r>
          </w:p>
          <w:p w14:paraId="5D7D4EA3" w14:textId="77777777" w:rsidR="00BB62F4" w:rsidRDefault="00000000">
            <w:pPr>
              <w:pBdr>
                <w:top w:val="nil"/>
                <w:left w:val="nil"/>
                <w:bottom w:val="nil"/>
                <w:right w:val="nil"/>
                <w:between w:val="nil"/>
              </w:pBdr>
              <w:shd w:val="clear" w:color="auto" w:fill="FFFFFF"/>
              <w:rPr>
                <w:i/>
                <w:iCs/>
                <w:color w:val="000000"/>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r>
              <w:rPr>
                <w:color w:val="000000"/>
                <w:shd w:val="clear" w:color="auto" w:fill="D9E2F3"/>
              </w:rPr>
              <w:t xml:space="preserve">. </w:t>
            </w:r>
            <w:r>
              <w:rPr>
                <w:i/>
                <w:iCs/>
                <w:color w:val="000000"/>
                <w:shd w:val="clear" w:color="auto" w:fill="D9E2F3"/>
              </w:rPr>
              <w:t xml:space="preserve">This could include an assessment of the supreme audit </w:t>
            </w:r>
            <w:proofErr w:type="gramStart"/>
            <w:r>
              <w:rPr>
                <w:i/>
                <w:iCs/>
                <w:color w:val="000000"/>
                <w:shd w:val="clear" w:color="auto" w:fill="D9E2F3"/>
              </w:rPr>
              <w:t>institution  or</w:t>
            </w:r>
            <w:proofErr w:type="gramEnd"/>
            <w:r>
              <w:rPr>
                <w:i/>
                <w:iCs/>
                <w:color w:val="000000"/>
                <w:shd w:val="clear" w:color="auto" w:fill="D9E2F3"/>
              </w:rPr>
              <w:t xml:space="preserve"> other oversight entity.</w:t>
            </w:r>
          </w:p>
          <w:p w14:paraId="2B3EBA81" w14:textId="77777777" w:rsidR="00BB62F4" w:rsidRDefault="00000000">
            <w:pPr>
              <w:pBdr>
                <w:top w:val="nil"/>
                <w:left w:val="nil"/>
                <w:bottom w:val="nil"/>
                <w:right w:val="nil"/>
                <w:between w:val="nil"/>
              </w:pBdr>
              <w:shd w:val="clear" w:color="auto" w:fill="FFFFFF"/>
              <w:rPr>
                <w:color w:val="000000"/>
              </w:rPr>
            </w:pPr>
            <w:r>
              <w:rPr>
                <w:color w:val="000000"/>
              </w:rPr>
              <w:t>AND / OR</w:t>
            </w:r>
          </w:p>
          <w:p w14:paraId="2085A0EF" w14:textId="77777777" w:rsidR="00BB62F4" w:rsidRDefault="00000000">
            <w:pPr>
              <w:rPr>
                <w:shd w:val="clear" w:color="auto" w:fill="D9E2F3"/>
              </w:rPr>
            </w:pPr>
            <w:r>
              <w:t xml:space="preserve">Other sources: </w:t>
            </w:r>
            <w:r>
              <w:rPr>
                <w:shd w:val="clear" w:color="auto" w:fill="D9E2F3"/>
              </w:rPr>
              <w:t>EITI Report (year and page number), EITI website etc</w:t>
            </w:r>
          </w:p>
          <w:p w14:paraId="417BC1E6" w14:textId="77777777" w:rsidR="00BB62F4" w:rsidRDefault="00000000">
            <w:pPr>
              <w:numPr>
                <w:ilvl w:val="0"/>
                <w:numId w:val="36"/>
              </w:numPr>
              <w:ind w:left="1063"/>
              <w:rPr>
                <w:rFonts w:ascii="EB Garamond" w:eastAsia="EB Garamond" w:hAnsi="EB Garamond" w:cs="EB Garamond"/>
                <w:color w:val="000000"/>
              </w:rPr>
            </w:pPr>
            <w:r>
              <w:rPr>
                <w:rFonts w:ascii="EB Garamond" w:eastAsia="EB Garamond" w:hAnsi="EB Garamond" w:cs="EB Garamond"/>
                <w:color w:val="000000"/>
              </w:rPr>
              <w:t> </w:t>
            </w:r>
            <w:hyperlink r:id="rId128">
              <w:r>
                <w:rPr>
                  <w:rFonts w:ascii="EB Garamond" w:eastAsia="EB Garamond" w:hAnsi="EB Garamond" w:cs="EB Garamond"/>
                  <w:color w:val="0000FF"/>
                  <w:u w:val="single"/>
                </w:rPr>
                <w:t>NEITI 2023 Oil and Gas Report</w:t>
              </w:r>
            </w:hyperlink>
            <w:r>
              <w:rPr>
                <w:rFonts w:ascii="EB Garamond" w:eastAsia="EB Garamond" w:hAnsi="EB Garamond" w:cs="EB Garamond"/>
                <w:color w:val="000000"/>
              </w:rPr>
              <w:t xml:space="preserve"> (Chapter 9, Table 84, item 2: Observations and Recommendations for 2022-2023 Extractive Reporting).</w:t>
            </w:r>
          </w:p>
          <w:p w14:paraId="43CA5C90" w14:textId="77777777" w:rsidR="00BB62F4" w:rsidRDefault="00BB62F4"/>
          <w:p w14:paraId="454DC925" w14:textId="77777777" w:rsidR="00BB62F4" w:rsidRDefault="00BB62F4">
            <w:pPr>
              <w:pBdr>
                <w:top w:val="nil"/>
                <w:left w:val="nil"/>
                <w:bottom w:val="nil"/>
                <w:right w:val="nil"/>
                <w:between w:val="nil"/>
              </w:pBdr>
              <w:spacing w:before="0" w:after="0"/>
              <w:rPr>
                <w:rFonts w:ascii="Quattrocento Sans" w:eastAsia="Quattrocento Sans" w:hAnsi="Quattrocento Sans" w:cs="Quattrocento Sans"/>
                <w:color w:val="000000"/>
                <w:sz w:val="24"/>
                <w:szCs w:val="24"/>
              </w:rPr>
            </w:pPr>
          </w:p>
        </w:tc>
      </w:tr>
      <w:tr w:rsidR="00BB62F4" w14:paraId="276A20DA" w14:textId="77777777">
        <w:tc>
          <w:tcPr>
            <w:tcW w:w="2240" w:type="dxa"/>
            <w:shd w:val="clear" w:color="auto" w:fill="B4C6E7"/>
          </w:tcPr>
          <w:p w14:paraId="77ACBB50" w14:textId="77777777" w:rsidR="00BB62F4" w:rsidRDefault="00000000">
            <w:pPr>
              <w:rPr>
                <w:i/>
                <w:iCs/>
              </w:rPr>
            </w:pPr>
            <w:r>
              <w:rPr>
                <w:b/>
                <w:bCs/>
              </w:rPr>
              <w:t>Encouraged</w:t>
            </w:r>
          </w:p>
        </w:tc>
        <w:tc>
          <w:tcPr>
            <w:tcW w:w="6822" w:type="dxa"/>
            <w:shd w:val="clear" w:color="auto" w:fill="B4C6E7"/>
          </w:tcPr>
          <w:p w14:paraId="389AD856" w14:textId="77777777" w:rsidR="00BB62F4" w:rsidRDefault="00000000">
            <w:pPr>
              <w:rPr>
                <w:b/>
                <w:bCs/>
              </w:rPr>
            </w:pPr>
            <w:r>
              <w:rPr>
                <w:b/>
                <w:bCs/>
              </w:rPr>
              <w:t>#2.</w:t>
            </w:r>
            <w:proofErr w:type="gramStart"/>
            <w:r>
              <w:rPr>
                <w:b/>
                <w:bCs/>
              </w:rPr>
              <w:t>3.d.</w:t>
            </w:r>
            <w:proofErr w:type="gramEnd"/>
            <w:r>
              <w:rPr>
                <w:b/>
                <w:bCs/>
              </w:rPr>
              <w:t xml:space="preserve">    Licenses registers and beneficial ownership</w:t>
            </w:r>
          </w:p>
        </w:tc>
      </w:tr>
      <w:tr w:rsidR="00BB62F4" w14:paraId="18FFA1E5" w14:textId="77777777">
        <w:tc>
          <w:tcPr>
            <w:tcW w:w="2240" w:type="dxa"/>
          </w:tcPr>
          <w:p w14:paraId="2D7B1B38" w14:textId="77777777" w:rsidR="00BB62F4" w:rsidRDefault="00000000">
            <w:pPr>
              <w:rPr>
                <w:i/>
                <w:iCs/>
              </w:rPr>
            </w:pPr>
            <w:r>
              <w:rPr>
                <w:i/>
                <w:iCs/>
              </w:rPr>
              <w:t>Availability</w:t>
            </w:r>
          </w:p>
        </w:tc>
        <w:tc>
          <w:tcPr>
            <w:tcW w:w="6822" w:type="dxa"/>
          </w:tcPr>
          <w:p w14:paraId="66D00CE2" w14:textId="77777777" w:rsidR="00BB62F4" w:rsidRDefault="00000000">
            <w:pPr>
              <w:rPr>
                <w:b/>
                <w:bCs/>
              </w:rPr>
            </w:pPr>
            <w:r>
              <w:t xml:space="preserve">Is the register linked to other government platforms that disclose information in accordance with Requirement 2.5 on the legal and beneficial owners of </w:t>
            </w:r>
            <w:r>
              <w:rPr>
                <w:highlight w:val="lightGray"/>
              </w:rPr>
              <w:t>Choose an item.</w:t>
            </w:r>
            <w:r>
              <w:t xml:space="preserve"> </w:t>
            </w:r>
            <w:r>
              <w:rPr>
                <w:b/>
                <w:bCs/>
              </w:rPr>
              <w:t>companies</w:t>
            </w:r>
            <w:r>
              <w:t>?</w:t>
            </w:r>
          </w:p>
          <w:p w14:paraId="568B1643" w14:textId="77777777" w:rsidR="00BB62F4" w:rsidRDefault="00000000">
            <w:pPr>
              <w:numPr>
                <w:ilvl w:val="0"/>
                <w:numId w:val="1"/>
              </w:numPr>
              <w:pBdr>
                <w:top w:val="nil"/>
                <w:left w:val="nil"/>
                <w:bottom w:val="nil"/>
                <w:right w:val="nil"/>
                <w:between w:val="nil"/>
              </w:pBdr>
              <w:rPr>
                <w:color w:val="000000"/>
              </w:rPr>
            </w:pPr>
            <w:sdt>
              <w:sdtPr>
                <w:tag w:val="goog_rdk_14"/>
                <w:id w:val="2064051429"/>
              </w:sdtPr>
              <w:sdtContent>
                <w:r>
                  <w:rPr>
                    <w:rFonts w:ascii="Arial Unicode MS" w:eastAsia="Arial Unicode MS" w:hAnsi="Arial Unicode MS" w:cs="Arial Unicode MS"/>
                  </w:rPr>
                  <w:t>☐</w:t>
                </w:r>
              </w:sdtContent>
            </w:sdt>
            <w:r>
              <w:rPr>
                <w:color w:val="000000"/>
              </w:rPr>
              <w:t xml:space="preserve"> </w:t>
            </w:r>
            <w:r>
              <w:rPr>
                <w:color w:val="000000"/>
                <w:shd w:val="clear" w:color="auto" w:fill="D9E2F3"/>
              </w:rPr>
              <w:t>Yes</w:t>
            </w:r>
            <w:r>
              <w:rPr>
                <w:color w:val="000000"/>
              </w:rPr>
              <w:t xml:space="preserve">           </w:t>
            </w:r>
            <w:r>
              <w:rPr>
                <w:rFonts w:ascii="MS Gothic" w:eastAsia="MS Gothic" w:hAnsi="MS Gothic" w:cs="MS Gothic"/>
              </w:rPr>
              <w:t>☒</w:t>
            </w:r>
            <w:r>
              <w:rPr>
                <w:color w:val="000000"/>
              </w:rPr>
              <w:t xml:space="preserve"> </w:t>
            </w:r>
            <w:r>
              <w:rPr>
                <w:color w:val="000000"/>
                <w:shd w:val="clear" w:color="auto" w:fill="D9E2F3"/>
              </w:rPr>
              <w:t>No</w:t>
            </w:r>
          </w:p>
          <w:p w14:paraId="30E1F237" w14:textId="77777777" w:rsidR="00BB62F4" w:rsidRDefault="00000000">
            <w:pPr>
              <w:pBdr>
                <w:top w:val="nil"/>
                <w:left w:val="nil"/>
                <w:bottom w:val="nil"/>
                <w:right w:val="nil"/>
                <w:between w:val="nil"/>
              </w:pBdr>
              <w:jc w:val="both"/>
              <w:rPr>
                <w:rFonts w:ascii="EB Garamond" w:eastAsia="EB Garamond" w:hAnsi="EB Garamond" w:cs="EB Garamond"/>
                <w:color w:val="000000"/>
                <w:shd w:val="clear" w:color="auto" w:fill="EDF1F9"/>
              </w:rPr>
            </w:pPr>
            <w:r>
              <w:rPr>
                <w:rFonts w:ascii="Times New Roman" w:eastAsia="Times New Roman" w:hAnsi="Times New Roman" w:cs="Times New Roman"/>
                <w:color w:val="000000"/>
                <w:sz w:val="24"/>
                <w:szCs w:val="24"/>
                <w:shd w:val="clear" w:color="auto" w:fill="D9E2F3"/>
              </w:rPr>
              <w:t xml:space="preserve">If yes, elaborate: </w:t>
            </w:r>
            <w:r>
              <w:rPr>
                <w:rFonts w:ascii="EB Garamond" w:eastAsia="EB Garamond" w:hAnsi="EB Garamond" w:cs="EB Garamond"/>
                <w:color w:val="000000"/>
                <w:shd w:val="clear" w:color="auto" w:fill="EDF1F9"/>
              </w:rPr>
              <w:t xml:space="preserve">The response is no, however, significant efforts </w:t>
            </w:r>
            <w:proofErr w:type="gramStart"/>
            <w:r>
              <w:rPr>
                <w:rFonts w:ascii="EB Garamond" w:eastAsia="EB Garamond" w:hAnsi="EB Garamond" w:cs="EB Garamond"/>
                <w:color w:val="000000"/>
                <w:shd w:val="clear" w:color="auto" w:fill="EDF1F9"/>
              </w:rPr>
              <w:t>has</w:t>
            </w:r>
            <w:proofErr w:type="gramEnd"/>
            <w:r>
              <w:rPr>
                <w:rFonts w:ascii="EB Garamond" w:eastAsia="EB Garamond" w:hAnsi="EB Garamond" w:cs="EB Garamond"/>
                <w:color w:val="000000"/>
                <w:shd w:val="clear" w:color="auto" w:fill="EDF1F9"/>
              </w:rPr>
              <w:t xml:space="preserve"> been made by </w:t>
            </w:r>
            <w:proofErr w:type="gramStart"/>
            <w:r>
              <w:rPr>
                <w:rFonts w:ascii="EB Garamond" w:eastAsia="EB Garamond" w:hAnsi="EB Garamond" w:cs="EB Garamond"/>
                <w:color w:val="000000"/>
                <w:shd w:val="clear" w:color="auto" w:fill="EDF1F9"/>
              </w:rPr>
              <w:t>MDA’s</w:t>
            </w:r>
            <w:proofErr w:type="gramEnd"/>
            <w:r>
              <w:rPr>
                <w:rFonts w:ascii="EB Garamond" w:eastAsia="EB Garamond" w:hAnsi="EB Garamond" w:cs="EB Garamond"/>
                <w:color w:val="000000"/>
                <w:shd w:val="clear" w:color="auto" w:fill="EDF1F9"/>
              </w:rPr>
              <w:t xml:space="preserve"> in Nigeria to link beneficial ownership (BO) registers with government platforms in line with EITI Requirement 2.5, using an interim register managed by </w:t>
            </w:r>
            <w:r>
              <w:rPr>
                <w:rFonts w:ascii="EB Garamond" w:eastAsia="EB Garamond" w:hAnsi="EB Garamond" w:cs="EB Garamond"/>
                <w:color w:val="000000"/>
                <w:shd w:val="clear" w:color="auto" w:fill="EDF1F9"/>
              </w:rPr>
              <w:lastRenderedPageBreak/>
              <w:t xml:space="preserve">Nigeria Extractive Industries Transparency Initiative (NEITI) that is increasingly integrated with the Corporate Affairs Commission (CAC)’s register to meet the CAMA 2020 requirement. </w:t>
            </w:r>
          </w:p>
          <w:p w14:paraId="6715F4B4" w14:textId="77777777" w:rsidR="00BB62F4"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EB Garamond" w:eastAsia="EB Garamond" w:hAnsi="EB Garamond" w:cs="EB Garamond"/>
                <w:color w:val="000000"/>
                <w:shd w:val="clear" w:color="auto" w:fill="EDF1F9"/>
              </w:rPr>
              <w:t>The NUPRC mandates all license applicants</w:t>
            </w:r>
            <w:r>
              <w:rPr>
                <w:rFonts w:ascii="EB Garamond" w:eastAsia="EB Garamond" w:hAnsi="EB Garamond" w:cs="EB Garamond"/>
                <w:shd w:val="clear" w:color="auto" w:fill="EDF1F9"/>
              </w:rPr>
              <w:t xml:space="preserve"> to</w:t>
            </w:r>
            <w:r>
              <w:rPr>
                <w:rFonts w:ascii="EB Garamond" w:eastAsia="EB Garamond" w:hAnsi="EB Garamond" w:cs="EB Garamond"/>
                <w:color w:val="000000"/>
                <w:shd w:val="clear" w:color="auto" w:fill="EDF1F9"/>
              </w:rPr>
              <w:t xml:space="preserve"> submit BO information. There is however no clear mandate for linkage between license registers with BO, but operational exigencies have caused efforts in that direction. </w:t>
            </w:r>
          </w:p>
          <w:p w14:paraId="50599D98" w14:textId="77777777" w:rsidR="00BB62F4" w:rsidRDefault="00BB62F4"/>
        </w:tc>
      </w:tr>
    </w:tbl>
    <w:p w14:paraId="21F28138" w14:textId="77777777" w:rsidR="00BB62F4" w:rsidRDefault="00BB62F4"/>
    <w:p w14:paraId="6F540F91" w14:textId="77777777" w:rsidR="00BB62F4" w:rsidRDefault="00BB62F4"/>
    <w:p w14:paraId="06E61FCC" w14:textId="77777777" w:rsidR="00BB62F4" w:rsidRDefault="00000000">
      <w:pPr>
        <w:pStyle w:val="Heading3"/>
      </w:pPr>
      <w:bookmarkStart w:id="19" w:name="_heading=h.hk5ksajh02fs" w:colFirst="0" w:colLast="0"/>
      <w:bookmarkEnd w:id="19"/>
      <w:r>
        <w:t xml:space="preserve">Underlying objective </w:t>
      </w:r>
    </w:p>
    <w:p w14:paraId="455E7ACC" w14:textId="77777777" w:rsidR="00BB62F4" w:rsidRDefault="00000000">
      <w:r>
        <w:t>The objective of this requirement is to ensure the public accessibility of comprehensive information on property rights related to extractive deposits and projects.</w:t>
      </w:r>
    </w:p>
    <w:p w14:paraId="5499CBF6" w14:textId="77777777" w:rsidR="00BB62F4" w:rsidRDefault="00000000">
      <w:pPr>
        <w:rPr>
          <w:b/>
          <w:bCs/>
        </w:rPr>
      </w:pPr>
      <w:r>
        <w:rPr>
          <w:b/>
          <w:bCs/>
        </w:rPr>
        <w:t>Use of information</w:t>
      </w:r>
    </w:p>
    <w:p w14:paraId="2B326CC4" w14:textId="77777777" w:rsidR="00BB62F4" w:rsidRDefault="00000000">
      <w:pPr>
        <w:numPr>
          <w:ilvl w:val="0"/>
          <w:numId w:val="10"/>
        </w:numPr>
        <w:pBdr>
          <w:top w:val="nil"/>
          <w:left w:val="nil"/>
          <w:bottom w:val="nil"/>
          <w:right w:val="nil"/>
          <w:between w:val="nil"/>
        </w:pBdr>
        <w:rPr>
          <w:color w:val="000000"/>
        </w:rPr>
      </w:pPr>
      <w:r>
        <w:rPr>
          <w:color w:val="000000"/>
        </w:rPr>
        <w:t xml:space="preserve">Have there been any issues, reforms or developments related to the extractive sector register or cadastre system in your country? Has the MSG engaged with these issues using EITI data or EITI processes?  Examples of issues could include technical problems or outages, integration with other systems, regulatory reforms. </w:t>
      </w:r>
    </w:p>
    <w:p w14:paraId="48837138" w14:textId="77777777" w:rsidR="00BB62F4" w:rsidRDefault="00BB62F4"/>
    <w:tbl>
      <w:tblPr>
        <w:tblStyle w:val="af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51AAE3BE" w14:textId="77777777">
        <w:tc>
          <w:tcPr>
            <w:tcW w:w="9062" w:type="dxa"/>
          </w:tcPr>
          <w:p w14:paraId="759B5F43"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64A27916" w14:textId="77777777" w:rsidR="00BB62F4" w:rsidRDefault="00000000">
            <w:pPr>
              <w:rPr>
                <w:shd w:val="clear" w:color="auto" w:fill="D9E2F3"/>
              </w:rPr>
            </w:pPr>
            <w:r>
              <w:rPr>
                <w:shd w:val="clear" w:color="auto" w:fill="D9E2F3"/>
              </w:rPr>
              <w:t xml:space="preserve">Please elaborate: </w:t>
            </w:r>
          </w:p>
          <w:p w14:paraId="480C22A0" w14:textId="77777777" w:rsidR="00BB62F4" w:rsidRDefault="00000000">
            <w:pPr>
              <w:shd w:val="clear" w:color="auto" w:fill="FFFFFF"/>
            </w:pPr>
            <w:r>
              <w:rPr>
                <w:rFonts w:ascii="EB Garamond" w:eastAsia="EB Garamond" w:hAnsi="EB Garamond" w:cs="EB Garamond"/>
              </w:rPr>
              <w:t xml:space="preserve">Upstream Register of License: It was observed that NUPRC have not publicly disclosed Register of Licenses. The examined publicly available document titled “Concession Situation” does not meet the requirement of a comprehensive Register. See  </w:t>
            </w:r>
            <w:hyperlink r:id="rId129">
              <w:r>
                <w:rPr>
                  <w:rFonts w:ascii="EB Garamond" w:eastAsia="EB Garamond" w:hAnsi="EB Garamond" w:cs="EB Garamond"/>
                  <w:color w:val="0000FF"/>
                  <w:u w:val="single"/>
                </w:rPr>
                <w:t>NEITI 2023 Oil and Gas Report</w:t>
              </w:r>
            </w:hyperlink>
            <w:r>
              <w:rPr>
                <w:rFonts w:ascii="EB Garamond" w:eastAsia="EB Garamond" w:hAnsi="EB Garamond" w:cs="EB Garamond"/>
              </w:rPr>
              <w:t xml:space="preserve"> (Chapter 9, Table 84, item 2 for details.</w:t>
            </w:r>
          </w:p>
          <w:p w14:paraId="1499219B" w14:textId="77777777" w:rsidR="00BB62F4" w:rsidRDefault="00BB62F4">
            <w:pPr>
              <w:rPr>
                <w:shd w:val="clear" w:color="auto" w:fill="D9E2F3"/>
              </w:rPr>
            </w:pPr>
          </w:p>
        </w:tc>
      </w:tr>
    </w:tbl>
    <w:p w14:paraId="23EFBEDA" w14:textId="77777777" w:rsidR="00BB62F4" w:rsidRDefault="00BB62F4"/>
    <w:p w14:paraId="3F7967F8" w14:textId="77777777" w:rsidR="00BB62F4" w:rsidRDefault="00000000">
      <w:r>
        <w:t>2. Is any of the information as set out above available in open format, for example as excel work sheet, to facilitate its use?</w:t>
      </w:r>
    </w:p>
    <w:tbl>
      <w:tblPr>
        <w:tblStyle w:val="af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7915B75A" w14:textId="77777777">
        <w:tc>
          <w:tcPr>
            <w:tcW w:w="9062" w:type="dxa"/>
          </w:tcPr>
          <w:p w14:paraId="2F966678"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37E5C71C" w14:textId="77777777" w:rsidR="00BB62F4" w:rsidRDefault="00000000">
            <w:pPr>
              <w:rPr>
                <w:i/>
                <w:iCs/>
              </w:rPr>
            </w:pPr>
            <w:r>
              <w:rPr>
                <w:i/>
                <w:iCs/>
                <w:shd w:val="clear" w:color="auto" w:fill="D9E2F3"/>
              </w:rPr>
              <w:t>Describe the data set(s) available, including in what format:</w:t>
            </w:r>
            <w:r>
              <w:rPr>
                <w:i/>
                <w:iCs/>
              </w:rPr>
              <w:t xml:space="preserve"> NEITI Reporting 2023 Oil and Gas in Word Format</w:t>
            </w:r>
          </w:p>
          <w:p w14:paraId="05145BE3" w14:textId="77777777" w:rsidR="00BB62F4" w:rsidRDefault="00000000">
            <w:pPr>
              <w:rPr>
                <w:i/>
                <w:iCs/>
              </w:rPr>
            </w:pPr>
            <w:hyperlink r:id="rId130">
              <w:r>
                <w:rPr>
                  <w:i/>
                  <w:iCs/>
                  <w:color w:val="1155CC"/>
                  <w:u w:val="single"/>
                </w:rPr>
                <w:t>https://www.neiti.gov.ng/AUDIT%20REPORTS/OIL-AND-GAS/2022-2023/Final-Report-NEITI-OGA-2023-Final-26-Sept-2024.docx</w:t>
              </w:r>
            </w:hyperlink>
            <w:r>
              <w:rPr>
                <w:i/>
                <w:iCs/>
              </w:rPr>
              <w:t xml:space="preserve"> </w:t>
            </w:r>
          </w:p>
        </w:tc>
      </w:tr>
    </w:tbl>
    <w:p w14:paraId="5127F81F" w14:textId="77777777" w:rsidR="00BB62F4" w:rsidRDefault="00BB62F4">
      <w:pPr>
        <w:pBdr>
          <w:top w:val="nil"/>
          <w:left w:val="nil"/>
          <w:bottom w:val="nil"/>
          <w:right w:val="nil"/>
          <w:between w:val="nil"/>
        </w:pBdr>
        <w:rPr>
          <w:color w:val="000000"/>
        </w:rPr>
      </w:pPr>
    </w:p>
    <w:p w14:paraId="0566A3FE" w14:textId="77777777" w:rsidR="00BB62F4" w:rsidRDefault="00000000">
      <w:pPr>
        <w:pBdr>
          <w:top w:val="nil"/>
          <w:left w:val="nil"/>
          <w:bottom w:val="nil"/>
          <w:right w:val="nil"/>
          <w:between w:val="nil"/>
        </w:pBdr>
        <w:rPr>
          <w:color w:val="000000"/>
        </w:rPr>
      </w:pPr>
      <w:r>
        <w:rPr>
          <w:color w:val="000000"/>
        </w:rPr>
        <w:t>3. Has the MSG conducted any analysis using any of the information of this requirement?</w:t>
      </w:r>
    </w:p>
    <w:tbl>
      <w:tblPr>
        <w:tblStyle w:val="af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10EE61FD" w14:textId="77777777">
        <w:tc>
          <w:tcPr>
            <w:tcW w:w="9062" w:type="dxa"/>
          </w:tcPr>
          <w:p w14:paraId="4DADFBDF"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26A4877C" w14:textId="77777777" w:rsidR="00BB62F4" w:rsidRDefault="00000000">
            <w:pPr>
              <w:rPr>
                <w:i/>
                <w:iCs/>
              </w:rPr>
            </w:pPr>
            <w:r>
              <w:rPr>
                <w:i/>
                <w:iCs/>
                <w:shd w:val="clear" w:color="auto" w:fill="D9E2F3"/>
              </w:rPr>
              <w:t>If yes, sources to where this analysis can be found.</w:t>
            </w:r>
            <w:r>
              <w:rPr>
                <w:i/>
                <w:iCs/>
              </w:rPr>
              <w:t xml:space="preserve"> </w:t>
            </w:r>
          </w:p>
        </w:tc>
      </w:tr>
    </w:tbl>
    <w:p w14:paraId="2431D465" w14:textId="77777777" w:rsidR="00BB62F4" w:rsidRDefault="00BB62F4"/>
    <w:p w14:paraId="26ADE3FC" w14:textId="77777777" w:rsidR="00BB62F4" w:rsidRDefault="00000000">
      <w:r>
        <w:t>4. Is the MSG aware of stakeholders using this information?</w:t>
      </w:r>
    </w:p>
    <w:tbl>
      <w:tblPr>
        <w:tblStyle w:val="a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6F822100" w14:textId="77777777">
        <w:tc>
          <w:tcPr>
            <w:tcW w:w="9062" w:type="dxa"/>
          </w:tcPr>
          <w:p w14:paraId="78100459" w14:textId="77777777" w:rsidR="00BB62F4" w:rsidRDefault="00000000">
            <w:r>
              <w:rPr>
                <w:rFonts w:ascii="MS Gothic" w:eastAsia="MS Gothic" w:hAnsi="MS Gothic" w:cs="MS Gothic"/>
              </w:rPr>
              <w:lastRenderedPageBreak/>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1983C751" w14:textId="77777777" w:rsidR="00BB62F4" w:rsidRDefault="00000000">
            <w:r>
              <w:rPr>
                <w:i/>
                <w:iCs/>
                <w:shd w:val="clear" w:color="auto" w:fill="D9E2F3"/>
              </w:rPr>
              <w:t>If applicable, sources to where this analysis can be found</w:t>
            </w:r>
            <w:r>
              <w:rPr>
                <w:i/>
                <w:iCs/>
              </w:rPr>
              <w:t xml:space="preserve">  </w:t>
            </w:r>
          </w:p>
        </w:tc>
      </w:tr>
    </w:tbl>
    <w:p w14:paraId="6E38EE24" w14:textId="77777777" w:rsidR="00BB62F4" w:rsidRDefault="00BB62F4"/>
    <w:p w14:paraId="1914BFB6" w14:textId="77777777" w:rsidR="00BB62F4" w:rsidRDefault="00BB62F4"/>
    <w:p w14:paraId="4C0B5A7F" w14:textId="77777777" w:rsidR="00BB62F4" w:rsidRDefault="00000000">
      <w:pPr>
        <w:pStyle w:val="Heading3"/>
      </w:pPr>
      <w:bookmarkStart w:id="20" w:name="_heading=h.z0lbwhraise" w:colFirst="0" w:colLast="0"/>
      <w:bookmarkEnd w:id="20"/>
      <w:r>
        <w:t>Conclusion</w:t>
      </w:r>
    </w:p>
    <w:p w14:paraId="6A9B8882" w14:textId="77777777" w:rsidR="00BB62F4" w:rsidRDefault="00000000">
      <w:pPr>
        <w:rPr>
          <w:sz w:val="22"/>
          <w:szCs w:val="22"/>
        </w:rPr>
      </w:pPr>
      <w:r>
        <w:rPr>
          <w:sz w:val="22"/>
          <w:szCs w:val="22"/>
        </w:rPr>
        <w:t xml:space="preserve">Based on the review of the </w:t>
      </w:r>
      <w:hyperlink w:anchor="_heading=h.jbo6zbrvo3fl">
        <w:r>
          <w:rPr>
            <w:color w:val="0000FF"/>
            <w:sz w:val="22"/>
            <w:szCs w:val="22"/>
            <w:u w:val="single"/>
          </w:rPr>
          <w:t>technical aspects</w:t>
        </w:r>
      </w:hyperlink>
      <w:r>
        <w:rPr>
          <w:sz w:val="22"/>
          <w:szCs w:val="22"/>
        </w:rPr>
        <w:t xml:space="preserve"> and </w:t>
      </w:r>
      <w:hyperlink w:anchor="_heading=h.hk5ksajh02fs">
        <w:r>
          <w:rPr>
            <w:color w:val="0000FF"/>
            <w:sz w:val="22"/>
            <w:szCs w:val="22"/>
            <w:u w:val="single"/>
          </w:rPr>
          <w:t>underlying objective</w:t>
        </w:r>
      </w:hyperlink>
      <w:r>
        <w:rPr>
          <w:sz w:val="22"/>
          <w:szCs w:val="22"/>
        </w:rPr>
        <w:t>, what is the MSG’s overall assessment towards meeting the requirement?</w:t>
      </w:r>
    </w:p>
    <w:p w14:paraId="6BD0E347" w14:textId="77777777" w:rsidR="00BB62F4" w:rsidRDefault="00BB62F4">
      <w:pPr>
        <w:pBdr>
          <w:top w:val="nil"/>
          <w:left w:val="nil"/>
          <w:bottom w:val="nil"/>
          <w:right w:val="nil"/>
          <w:between w:val="nil"/>
        </w:pBdr>
        <w:spacing w:line="276" w:lineRule="auto"/>
        <w:rPr>
          <w:color w:val="000000"/>
          <w:sz w:val="22"/>
          <w:szCs w:val="22"/>
        </w:rPr>
      </w:pPr>
    </w:p>
    <w:p w14:paraId="47AC04E4" w14:textId="77777777" w:rsidR="00BB62F4" w:rsidRDefault="00000000">
      <w:pPr>
        <w:pBdr>
          <w:top w:val="nil"/>
          <w:left w:val="nil"/>
          <w:bottom w:val="nil"/>
          <w:right w:val="nil"/>
          <w:between w:val="nil"/>
        </w:pBdr>
        <w:spacing w:line="276" w:lineRule="auto"/>
        <w:rPr>
          <w:color w:val="000000"/>
          <w:sz w:val="22"/>
          <w:szCs w:val="22"/>
        </w:rPr>
      </w:pPr>
      <w:r>
        <w:rPr>
          <w:color w:val="000000"/>
          <w:sz w:val="22"/>
          <w:szCs w:val="22"/>
        </w:rPr>
        <w:t>Score is:</w:t>
      </w:r>
    </w:p>
    <w:tbl>
      <w:tblPr>
        <w:tblStyle w:val="af5"/>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BB62F4" w14:paraId="2ED2D102" w14:textId="77777777">
        <w:trPr>
          <w:trHeight w:val="60"/>
        </w:trPr>
        <w:tc>
          <w:tcPr>
            <w:tcW w:w="1413" w:type="dxa"/>
          </w:tcPr>
          <w:p w14:paraId="2D448076" w14:textId="77777777" w:rsidR="00BB62F4" w:rsidRDefault="00000000">
            <w:pPr>
              <w:spacing w:before="0" w:after="0"/>
              <w:rPr>
                <w:sz w:val="22"/>
                <w:szCs w:val="22"/>
              </w:rPr>
            </w:pPr>
            <w:sdt>
              <w:sdtPr>
                <w:tag w:val="goog_rdk_15"/>
                <w:id w:val="470111130"/>
              </w:sdtPr>
              <w:sdtContent>
                <w:r>
                  <w:rPr>
                    <w:rFonts w:ascii="Arial Unicode MS" w:eastAsia="Arial Unicode MS" w:hAnsi="Arial Unicode MS" w:cs="Arial Unicode MS"/>
                    <w:b/>
                    <w:bCs/>
                    <w:sz w:val="22"/>
                    <w:szCs w:val="22"/>
                  </w:rPr>
                  <w:t>☐</w:t>
                </w:r>
              </w:sdtContent>
            </w:sdt>
          </w:p>
        </w:tc>
        <w:tc>
          <w:tcPr>
            <w:tcW w:w="1134" w:type="dxa"/>
          </w:tcPr>
          <w:p w14:paraId="3800FC58" w14:textId="77777777" w:rsidR="00BB62F4" w:rsidRDefault="00000000">
            <w:pPr>
              <w:spacing w:before="0" w:after="0"/>
              <w:rPr>
                <w:sz w:val="22"/>
                <w:szCs w:val="22"/>
              </w:rPr>
            </w:pPr>
            <w:r>
              <w:rPr>
                <w:rFonts w:ascii="MS Gothic" w:eastAsia="MS Gothic" w:hAnsi="MS Gothic" w:cs="MS Gothic"/>
                <w:sz w:val="22"/>
                <w:szCs w:val="22"/>
              </w:rPr>
              <w:t>☐</w:t>
            </w:r>
          </w:p>
        </w:tc>
        <w:tc>
          <w:tcPr>
            <w:tcW w:w="1417" w:type="dxa"/>
          </w:tcPr>
          <w:p w14:paraId="18DD8EC4" w14:textId="77777777" w:rsidR="00BB62F4" w:rsidRDefault="00000000">
            <w:pPr>
              <w:spacing w:before="0" w:after="0"/>
              <w:rPr>
                <w:sz w:val="22"/>
                <w:szCs w:val="22"/>
              </w:rPr>
            </w:pPr>
            <w:r>
              <w:rPr>
                <w:rFonts w:ascii="MS Gothic" w:eastAsia="MS Gothic" w:hAnsi="MS Gothic" w:cs="MS Gothic"/>
                <w:sz w:val="22"/>
                <w:szCs w:val="22"/>
              </w:rPr>
              <w:t>☐</w:t>
            </w:r>
          </w:p>
        </w:tc>
        <w:tc>
          <w:tcPr>
            <w:tcW w:w="1276" w:type="dxa"/>
          </w:tcPr>
          <w:p w14:paraId="06BAC408" w14:textId="77777777" w:rsidR="00BB62F4" w:rsidRDefault="00000000">
            <w:pPr>
              <w:spacing w:before="0" w:after="0"/>
              <w:rPr>
                <w:sz w:val="22"/>
                <w:szCs w:val="22"/>
              </w:rPr>
            </w:pPr>
            <w:r>
              <w:rPr>
                <w:rFonts w:ascii="MS Gothic" w:eastAsia="MS Gothic" w:hAnsi="MS Gothic" w:cs="MS Gothic"/>
                <w:sz w:val="22"/>
                <w:szCs w:val="22"/>
              </w:rPr>
              <w:t>☐</w:t>
            </w:r>
          </w:p>
        </w:tc>
        <w:tc>
          <w:tcPr>
            <w:tcW w:w="1848" w:type="dxa"/>
          </w:tcPr>
          <w:p w14:paraId="45FF1DAE" w14:textId="77777777" w:rsidR="00BB62F4" w:rsidRDefault="00000000">
            <w:pPr>
              <w:rPr>
                <w:sz w:val="22"/>
                <w:szCs w:val="22"/>
              </w:rPr>
            </w:pPr>
            <w:r>
              <w:rPr>
                <w:rFonts w:ascii="MS Gothic" w:eastAsia="MS Gothic" w:hAnsi="MS Gothic" w:cs="MS Gothic"/>
              </w:rPr>
              <w:t>☒</w:t>
            </w:r>
          </w:p>
        </w:tc>
        <w:tc>
          <w:tcPr>
            <w:tcW w:w="1671" w:type="dxa"/>
          </w:tcPr>
          <w:p w14:paraId="67226D95" w14:textId="77777777" w:rsidR="00BB62F4" w:rsidRDefault="00000000">
            <w:pPr>
              <w:spacing w:before="0" w:after="0"/>
              <w:rPr>
                <w:sz w:val="22"/>
                <w:szCs w:val="22"/>
              </w:rPr>
            </w:pPr>
            <w:r>
              <w:rPr>
                <w:rFonts w:ascii="MS Gothic" w:eastAsia="MS Gothic" w:hAnsi="MS Gothic" w:cs="MS Gothic"/>
                <w:sz w:val="22"/>
                <w:szCs w:val="22"/>
              </w:rPr>
              <w:t>☐</w:t>
            </w:r>
          </w:p>
        </w:tc>
      </w:tr>
      <w:tr w:rsidR="00BB62F4" w14:paraId="3AD58B72" w14:textId="77777777">
        <w:trPr>
          <w:trHeight w:val="60"/>
        </w:trPr>
        <w:tc>
          <w:tcPr>
            <w:tcW w:w="1413" w:type="dxa"/>
          </w:tcPr>
          <w:p w14:paraId="68A9186F" w14:textId="77777777" w:rsidR="00BB62F4" w:rsidRDefault="00000000">
            <w:pPr>
              <w:spacing w:before="0" w:after="0"/>
              <w:rPr>
                <w:sz w:val="22"/>
                <w:szCs w:val="22"/>
              </w:rPr>
            </w:pPr>
            <w:r>
              <w:rPr>
                <w:sz w:val="22"/>
                <w:szCs w:val="22"/>
              </w:rPr>
              <w:t>very poor (</w:t>
            </w:r>
            <w:r>
              <w:rPr>
                <w:sz w:val="22"/>
                <w:szCs w:val="22"/>
                <w:highlight w:val="black"/>
              </w:rPr>
              <w:t>0</w:t>
            </w:r>
            <w:r>
              <w:rPr>
                <w:sz w:val="22"/>
                <w:szCs w:val="22"/>
              </w:rPr>
              <w:t>)</w:t>
            </w:r>
          </w:p>
        </w:tc>
        <w:tc>
          <w:tcPr>
            <w:tcW w:w="1134" w:type="dxa"/>
          </w:tcPr>
          <w:p w14:paraId="3A1B4AF1" w14:textId="77777777" w:rsidR="00BB62F4" w:rsidRDefault="00000000">
            <w:pPr>
              <w:spacing w:before="0" w:after="0"/>
              <w:rPr>
                <w:sz w:val="22"/>
                <w:szCs w:val="22"/>
              </w:rPr>
            </w:pPr>
            <w:r>
              <w:rPr>
                <w:sz w:val="22"/>
                <w:szCs w:val="22"/>
              </w:rPr>
              <w:t>poor (</w:t>
            </w:r>
            <w:r>
              <w:rPr>
                <w:color w:val="FFFFFF"/>
                <w:sz w:val="22"/>
                <w:szCs w:val="22"/>
                <w:shd w:val="clear" w:color="auto" w:fill="FF3300"/>
              </w:rPr>
              <w:t>25</w:t>
            </w:r>
            <w:r>
              <w:rPr>
                <w:sz w:val="22"/>
                <w:szCs w:val="22"/>
              </w:rPr>
              <w:t>)</w:t>
            </w:r>
          </w:p>
        </w:tc>
        <w:tc>
          <w:tcPr>
            <w:tcW w:w="1417" w:type="dxa"/>
          </w:tcPr>
          <w:p w14:paraId="4416D99D" w14:textId="77777777" w:rsidR="00BB62F4" w:rsidRDefault="00000000">
            <w:pPr>
              <w:spacing w:before="0" w:after="0"/>
              <w:rPr>
                <w:sz w:val="22"/>
                <w:szCs w:val="22"/>
              </w:rPr>
            </w:pPr>
            <w:r>
              <w:rPr>
                <w:sz w:val="22"/>
                <w:szCs w:val="22"/>
              </w:rPr>
              <w:t>limited (</w:t>
            </w:r>
            <w:r>
              <w:rPr>
                <w:sz w:val="22"/>
                <w:szCs w:val="22"/>
                <w:shd w:val="clear" w:color="auto" w:fill="FFC000"/>
              </w:rPr>
              <w:t>50</w:t>
            </w:r>
            <w:r>
              <w:rPr>
                <w:sz w:val="22"/>
                <w:szCs w:val="22"/>
              </w:rPr>
              <w:t>)</w:t>
            </w:r>
          </w:p>
        </w:tc>
        <w:tc>
          <w:tcPr>
            <w:tcW w:w="1276" w:type="dxa"/>
          </w:tcPr>
          <w:p w14:paraId="3BA7429D" w14:textId="77777777" w:rsidR="00BB62F4" w:rsidRDefault="00000000">
            <w:pPr>
              <w:spacing w:before="0" w:after="0"/>
              <w:rPr>
                <w:sz w:val="22"/>
                <w:szCs w:val="22"/>
              </w:rPr>
            </w:pPr>
            <w:r>
              <w:rPr>
                <w:sz w:val="22"/>
                <w:szCs w:val="22"/>
              </w:rPr>
              <w:t>good (</w:t>
            </w:r>
            <w:r>
              <w:rPr>
                <w:sz w:val="22"/>
                <w:szCs w:val="22"/>
                <w:shd w:val="clear" w:color="auto" w:fill="89AA2E"/>
              </w:rPr>
              <w:t>70</w:t>
            </w:r>
            <w:r>
              <w:rPr>
                <w:sz w:val="22"/>
                <w:szCs w:val="22"/>
              </w:rPr>
              <w:t>)</w:t>
            </w:r>
          </w:p>
        </w:tc>
        <w:tc>
          <w:tcPr>
            <w:tcW w:w="1848" w:type="dxa"/>
          </w:tcPr>
          <w:p w14:paraId="1AB34E10" w14:textId="77777777" w:rsidR="00BB62F4" w:rsidRDefault="00000000">
            <w:pPr>
              <w:spacing w:before="0" w:after="0"/>
              <w:rPr>
                <w:sz w:val="22"/>
                <w:szCs w:val="22"/>
              </w:rPr>
            </w:pPr>
            <w:r>
              <w:rPr>
                <w:sz w:val="22"/>
                <w:szCs w:val="22"/>
              </w:rPr>
              <w:t>very good (</w:t>
            </w:r>
            <w:r>
              <w:rPr>
                <w:color w:val="FFFFFF"/>
                <w:sz w:val="22"/>
                <w:szCs w:val="22"/>
                <w:shd w:val="clear" w:color="auto" w:fill="2B8636"/>
              </w:rPr>
              <w:t>90</w:t>
            </w:r>
            <w:r>
              <w:rPr>
                <w:sz w:val="22"/>
                <w:szCs w:val="22"/>
              </w:rPr>
              <w:t>)</w:t>
            </w:r>
          </w:p>
        </w:tc>
        <w:tc>
          <w:tcPr>
            <w:tcW w:w="1671" w:type="dxa"/>
          </w:tcPr>
          <w:p w14:paraId="6BC68B29" w14:textId="77777777" w:rsidR="00BB62F4" w:rsidRDefault="00000000">
            <w:pPr>
              <w:spacing w:before="0" w:after="0"/>
              <w:rPr>
                <w:sz w:val="22"/>
                <w:szCs w:val="22"/>
              </w:rPr>
            </w:pPr>
            <w:r>
              <w:rPr>
                <w:sz w:val="22"/>
                <w:szCs w:val="22"/>
              </w:rPr>
              <w:t>leading (</w:t>
            </w:r>
            <w:r>
              <w:rPr>
                <w:sz w:val="22"/>
                <w:szCs w:val="22"/>
                <w:shd w:val="clear" w:color="auto" w:fill="00B0F0"/>
              </w:rPr>
              <w:t>100</w:t>
            </w:r>
            <w:r>
              <w:rPr>
                <w:sz w:val="22"/>
                <w:szCs w:val="22"/>
              </w:rPr>
              <w:t>)</w:t>
            </w:r>
          </w:p>
        </w:tc>
      </w:tr>
      <w:tr w:rsidR="00BB62F4" w14:paraId="19315929" w14:textId="77777777">
        <w:trPr>
          <w:trHeight w:val="60"/>
        </w:trPr>
        <w:tc>
          <w:tcPr>
            <w:tcW w:w="1413" w:type="dxa"/>
          </w:tcPr>
          <w:p w14:paraId="2D536F74" w14:textId="77777777" w:rsidR="00BB62F4" w:rsidRDefault="00BB62F4">
            <w:pPr>
              <w:spacing w:before="0" w:after="0"/>
              <w:rPr>
                <w:sz w:val="22"/>
                <w:szCs w:val="22"/>
              </w:rPr>
            </w:pPr>
          </w:p>
        </w:tc>
        <w:tc>
          <w:tcPr>
            <w:tcW w:w="1134" w:type="dxa"/>
          </w:tcPr>
          <w:p w14:paraId="74E78337" w14:textId="77777777" w:rsidR="00BB62F4" w:rsidRDefault="00BB62F4">
            <w:pPr>
              <w:spacing w:before="0" w:after="0"/>
              <w:rPr>
                <w:sz w:val="22"/>
                <w:szCs w:val="22"/>
              </w:rPr>
            </w:pPr>
          </w:p>
        </w:tc>
        <w:tc>
          <w:tcPr>
            <w:tcW w:w="1417" w:type="dxa"/>
          </w:tcPr>
          <w:p w14:paraId="70A1B928" w14:textId="77777777" w:rsidR="00BB62F4" w:rsidRDefault="00BB62F4">
            <w:pPr>
              <w:spacing w:before="0" w:after="0"/>
              <w:rPr>
                <w:sz w:val="22"/>
                <w:szCs w:val="22"/>
              </w:rPr>
            </w:pPr>
          </w:p>
        </w:tc>
        <w:tc>
          <w:tcPr>
            <w:tcW w:w="1276" w:type="dxa"/>
          </w:tcPr>
          <w:p w14:paraId="07492E31" w14:textId="77777777" w:rsidR="00BB62F4" w:rsidRDefault="00BB62F4">
            <w:pPr>
              <w:spacing w:before="0" w:after="0"/>
              <w:rPr>
                <w:sz w:val="22"/>
                <w:szCs w:val="22"/>
              </w:rPr>
            </w:pPr>
          </w:p>
        </w:tc>
        <w:tc>
          <w:tcPr>
            <w:tcW w:w="1848" w:type="dxa"/>
          </w:tcPr>
          <w:p w14:paraId="1D7DCE9E" w14:textId="77777777" w:rsidR="00BB62F4" w:rsidRDefault="00BB62F4">
            <w:pPr>
              <w:spacing w:before="0" w:after="0"/>
              <w:rPr>
                <w:sz w:val="22"/>
                <w:szCs w:val="22"/>
              </w:rPr>
            </w:pPr>
          </w:p>
        </w:tc>
        <w:tc>
          <w:tcPr>
            <w:tcW w:w="1671" w:type="dxa"/>
          </w:tcPr>
          <w:p w14:paraId="7E6C3B71" w14:textId="77777777" w:rsidR="00BB62F4" w:rsidRDefault="00BB62F4">
            <w:pPr>
              <w:spacing w:before="0" w:after="0"/>
              <w:rPr>
                <w:sz w:val="22"/>
                <w:szCs w:val="22"/>
              </w:rPr>
            </w:pPr>
          </w:p>
        </w:tc>
      </w:tr>
    </w:tbl>
    <w:p w14:paraId="15363E28" w14:textId="77777777" w:rsidR="00BB62F4" w:rsidRDefault="00000000">
      <w:pPr>
        <w:rPr>
          <w:b/>
          <w:bCs/>
          <w:sz w:val="22"/>
          <w:szCs w:val="22"/>
        </w:rPr>
      </w:pPr>
      <w:r>
        <w:rPr>
          <w:b/>
          <w:bCs/>
          <w:sz w:val="22"/>
          <w:szCs w:val="22"/>
        </w:rPr>
        <w:t xml:space="preserve">Or </w:t>
      </w:r>
    </w:p>
    <w:p w14:paraId="5CFB4A37" w14:textId="77777777" w:rsidR="00BB62F4" w:rsidRDefault="00000000">
      <w:pPr>
        <w:rPr>
          <w:sz w:val="22"/>
          <w:szCs w:val="22"/>
        </w:rPr>
      </w:pPr>
      <w:r>
        <w:rPr>
          <w:rFonts w:ascii="MS Gothic" w:eastAsia="MS Gothic" w:hAnsi="MS Gothic" w:cs="MS Gothic"/>
          <w:sz w:val="22"/>
          <w:szCs w:val="22"/>
        </w:rPr>
        <w:t>☐</w:t>
      </w:r>
      <w:r>
        <w:rPr>
          <w:sz w:val="22"/>
          <w:szCs w:val="22"/>
        </w:rPr>
        <w:t xml:space="preserve"> not applicable</w:t>
      </w:r>
    </w:p>
    <w:p w14:paraId="2F5AF6F9" w14:textId="77777777" w:rsidR="00BB62F4" w:rsidRDefault="00BB62F4"/>
    <w:tbl>
      <w:tblPr>
        <w:tblStyle w:val="af6"/>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BB62F4" w14:paraId="4DED04E9" w14:textId="77777777">
        <w:trPr>
          <w:trHeight w:val="700"/>
        </w:trPr>
        <w:tc>
          <w:tcPr>
            <w:tcW w:w="9067" w:type="dxa"/>
            <w:shd w:val="clear" w:color="auto" w:fill="D9E2F3"/>
          </w:tcPr>
          <w:p w14:paraId="4FC183E0" w14:textId="77777777" w:rsidR="00BB62F4" w:rsidRDefault="00000000">
            <w:pPr>
              <w:pBdr>
                <w:top w:val="nil"/>
                <w:left w:val="nil"/>
                <w:bottom w:val="nil"/>
                <w:right w:val="nil"/>
                <w:between w:val="nil"/>
              </w:pBdr>
              <w:spacing w:line="276" w:lineRule="auto"/>
              <w:rPr>
                <w:color w:val="000000"/>
              </w:rPr>
            </w:pPr>
            <w:r>
              <w:rPr>
                <w:color w:val="000000"/>
              </w:rPr>
              <w:t>Please explain</w:t>
            </w:r>
          </w:p>
        </w:tc>
      </w:tr>
    </w:tbl>
    <w:p w14:paraId="18E24500" w14:textId="77777777" w:rsidR="00BB62F4" w:rsidRDefault="00000000">
      <w:pPr>
        <w:pStyle w:val="Heading2"/>
        <w:numPr>
          <w:ilvl w:val="0"/>
          <w:numId w:val="5"/>
        </w:numPr>
      </w:pPr>
      <w:bookmarkStart w:id="21" w:name="_heading=h.no97cqdhlqtb" w:colFirst="0" w:colLast="0"/>
      <w:bookmarkEnd w:id="21"/>
      <w:r>
        <w:t>International Secretariat feedback</w:t>
      </w:r>
    </w:p>
    <w:tbl>
      <w:tblPr>
        <w:tblStyle w:val="af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25ED473C" w14:textId="77777777">
        <w:tc>
          <w:tcPr>
            <w:tcW w:w="9062" w:type="dxa"/>
            <w:tcBorders>
              <w:top w:val="nil"/>
              <w:left w:val="nil"/>
              <w:bottom w:val="nil"/>
              <w:right w:val="nil"/>
            </w:tcBorders>
            <w:shd w:val="clear" w:color="auto" w:fill="F2F2F2"/>
          </w:tcPr>
          <w:p w14:paraId="3B7DC91F" w14:textId="77777777" w:rsidR="00BB62F4" w:rsidRDefault="00000000">
            <w:pPr>
              <w:rPr>
                <w:i/>
                <w:iCs/>
              </w:rPr>
            </w:pPr>
            <w:r>
              <w:rPr>
                <w:i/>
                <w:iCs/>
              </w:rPr>
              <w:t>To be filled in by the International Secretariat</w:t>
            </w:r>
          </w:p>
          <w:p w14:paraId="639985F9" w14:textId="77777777" w:rsidR="00BB62F4" w:rsidRDefault="00000000">
            <w:pPr>
              <w:rPr>
                <w:i/>
                <w:iCs/>
              </w:rPr>
            </w:pPr>
            <w:r>
              <w:rPr>
                <w:i/>
                <w:iCs/>
              </w:rPr>
              <w:t xml:space="preserve">Observations of comprehensiveness of addressing the aspects, any gaps identified and further clarification needed.  </w:t>
            </w:r>
          </w:p>
          <w:tbl>
            <w:tblPr>
              <w:tblStyle w:val="af8"/>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3"/>
              <w:gridCol w:w="6733"/>
            </w:tblGrid>
            <w:tr w:rsidR="00BB62F4" w14:paraId="5AC4A626" w14:textId="77777777">
              <w:tc>
                <w:tcPr>
                  <w:tcW w:w="2103" w:type="dxa"/>
                </w:tcPr>
                <w:p w14:paraId="13B587E3" w14:textId="77777777" w:rsidR="00BB62F4" w:rsidRDefault="00000000">
                  <w:r>
                    <w:t>2.3.b – Publicly available register or cadastre system(s)</w:t>
                  </w:r>
                </w:p>
                <w:p w14:paraId="362ACE8E" w14:textId="77777777" w:rsidR="00BB62F4" w:rsidRDefault="00000000">
                  <w:pPr>
                    <w:rPr>
                      <w:i/>
                      <w:iCs/>
                    </w:rPr>
                  </w:pPr>
                  <w:r>
                    <w:rPr>
                      <w:i/>
                      <w:iCs/>
                    </w:rPr>
                    <w:t>Required</w:t>
                  </w:r>
                </w:p>
              </w:tc>
              <w:tc>
                <w:tcPr>
                  <w:tcW w:w="6733" w:type="dxa"/>
                </w:tcPr>
                <w:p w14:paraId="2342F52E" w14:textId="77777777" w:rsidR="00BB62F4" w:rsidRDefault="00BB62F4"/>
              </w:tc>
            </w:tr>
            <w:tr w:rsidR="00BB62F4" w14:paraId="0D2939CD" w14:textId="77777777">
              <w:tc>
                <w:tcPr>
                  <w:tcW w:w="2103" w:type="dxa"/>
                </w:tcPr>
                <w:p w14:paraId="4526E1BC" w14:textId="77777777" w:rsidR="00BB62F4" w:rsidRDefault="00000000">
                  <w:r>
                    <w:t>2.3.c – Disclosure of gaps</w:t>
                  </w:r>
                </w:p>
                <w:p w14:paraId="7FAED2A4" w14:textId="77777777" w:rsidR="00BB62F4" w:rsidRDefault="00000000">
                  <w:pPr>
                    <w:rPr>
                      <w:i/>
                      <w:iCs/>
                    </w:rPr>
                  </w:pPr>
                  <w:r>
                    <w:rPr>
                      <w:i/>
                      <w:iCs/>
                    </w:rPr>
                    <w:t>Required</w:t>
                  </w:r>
                </w:p>
              </w:tc>
              <w:tc>
                <w:tcPr>
                  <w:tcW w:w="6733" w:type="dxa"/>
                </w:tcPr>
                <w:p w14:paraId="70D3EC9D" w14:textId="77777777" w:rsidR="00BB62F4" w:rsidRDefault="00BB62F4"/>
              </w:tc>
            </w:tr>
            <w:tr w:rsidR="00BB62F4" w14:paraId="775419AB" w14:textId="77777777">
              <w:tc>
                <w:tcPr>
                  <w:tcW w:w="2103" w:type="dxa"/>
                </w:tcPr>
                <w:p w14:paraId="019B1D35" w14:textId="77777777" w:rsidR="00BB62F4" w:rsidRDefault="00000000">
                  <w:r>
                    <w:t>2.3.d – Licenses register and beneficial ownership</w:t>
                  </w:r>
                </w:p>
                <w:p w14:paraId="36BC226B" w14:textId="77777777" w:rsidR="00BB62F4" w:rsidRDefault="00000000">
                  <w:pPr>
                    <w:rPr>
                      <w:i/>
                      <w:iCs/>
                    </w:rPr>
                  </w:pPr>
                  <w:r>
                    <w:rPr>
                      <w:i/>
                      <w:iCs/>
                    </w:rPr>
                    <w:t>Encouraged</w:t>
                  </w:r>
                </w:p>
              </w:tc>
              <w:tc>
                <w:tcPr>
                  <w:tcW w:w="6733" w:type="dxa"/>
                </w:tcPr>
                <w:p w14:paraId="6A812422" w14:textId="77777777" w:rsidR="00BB62F4" w:rsidRDefault="00BB62F4"/>
              </w:tc>
            </w:tr>
            <w:tr w:rsidR="00BB62F4" w14:paraId="0F91D719" w14:textId="77777777">
              <w:tc>
                <w:tcPr>
                  <w:tcW w:w="2103" w:type="dxa"/>
                </w:tcPr>
                <w:p w14:paraId="7069B5D8" w14:textId="77777777" w:rsidR="00BB62F4" w:rsidRDefault="00000000">
                  <w:r>
                    <w:lastRenderedPageBreak/>
                    <w:t>Underlying objective</w:t>
                  </w:r>
                </w:p>
              </w:tc>
              <w:tc>
                <w:tcPr>
                  <w:tcW w:w="6733" w:type="dxa"/>
                </w:tcPr>
                <w:p w14:paraId="22722212" w14:textId="77777777" w:rsidR="00BB62F4" w:rsidRDefault="00BB62F4"/>
              </w:tc>
            </w:tr>
            <w:tr w:rsidR="00BB62F4" w14:paraId="6D259A21" w14:textId="77777777">
              <w:tc>
                <w:tcPr>
                  <w:tcW w:w="2103" w:type="dxa"/>
                </w:tcPr>
                <w:p w14:paraId="68F5834A" w14:textId="77777777" w:rsidR="00BB62F4" w:rsidRDefault="00000000">
                  <w:r>
                    <w:t>Relevance of data when linked to ongoing issues/reforms in the country</w:t>
                  </w:r>
                </w:p>
              </w:tc>
              <w:tc>
                <w:tcPr>
                  <w:tcW w:w="6733" w:type="dxa"/>
                </w:tcPr>
                <w:p w14:paraId="2DBAAA57" w14:textId="77777777" w:rsidR="00BB62F4" w:rsidRDefault="00BB62F4"/>
              </w:tc>
            </w:tr>
            <w:tr w:rsidR="00BB62F4" w14:paraId="24201815" w14:textId="77777777">
              <w:tc>
                <w:tcPr>
                  <w:tcW w:w="2103" w:type="dxa"/>
                </w:tcPr>
                <w:p w14:paraId="5696CB9D" w14:textId="77777777" w:rsidR="00BB62F4" w:rsidRDefault="00000000">
                  <w:r>
                    <w:t>Any other observations</w:t>
                  </w:r>
                </w:p>
              </w:tc>
              <w:tc>
                <w:tcPr>
                  <w:tcW w:w="6733" w:type="dxa"/>
                </w:tcPr>
                <w:p w14:paraId="720E27F7" w14:textId="77777777" w:rsidR="00BB62F4" w:rsidRDefault="00BB62F4"/>
              </w:tc>
            </w:tr>
            <w:tr w:rsidR="00BB62F4" w14:paraId="0117245C" w14:textId="77777777">
              <w:tc>
                <w:tcPr>
                  <w:tcW w:w="2103" w:type="dxa"/>
                </w:tcPr>
                <w:p w14:paraId="7E48A016" w14:textId="77777777" w:rsidR="00BB62F4" w:rsidRDefault="00000000">
                  <w:r>
                    <w:t>On availability of systematic disclosures</w:t>
                  </w:r>
                </w:p>
              </w:tc>
              <w:tc>
                <w:tcPr>
                  <w:tcW w:w="6733" w:type="dxa"/>
                </w:tcPr>
                <w:p w14:paraId="4332709E" w14:textId="77777777" w:rsidR="00BB62F4" w:rsidRDefault="00BB62F4"/>
              </w:tc>
            </w:tr>
            <w:tr w:rsidR="00BB62F4" w14:paraId="22F1104F" w14:textId="77777777">
              <w:tc>
                <w:tcPr>
                  <w:tcW w:w="2103" w:type="dxa"/>
                </w:tcPr>
                <w:p w14:paraId="6FDA916B" w14:textId="77777777" w:rsidR="00BB62F4" w:rsidRDefault="00000000">
                  <w:r>
                    <w:t>On the timeliness of disclosures</w:t>
                  </w:r>
                </w:p>
              </w:tc>
              <w:tc>
                <w:tcPr>
                  <w:tcW w:w="6733" w:type="dxa"/>
                </w:tcPr>
                <w:p w14:paraId="2F09B853" w14:textId="77777777" w:rsidR="00BB62F4" w:rsidRDefault="00BB62F4"/>
              </w:tc>
            </w:tr>
            <w:tr w:rsidR="00BB62F4" w14:paraId="497165B5" w14:textId="77777777">
              <w:tc>
                <w:tcPr>
                  <w:tcW w:w="2103" w:type="dxa"/>
                </w:tcPr>
                <w:p w14:paraId="150B7D78" w14:textId="77777777" w:rsidR="00BB62F4" w:rsidRDefault="00000000">
                  <w:r>
                    <w:t>On open format of disclosures</w:t>
                  </w:r>
                </w:p>
              </w:tc>
              <w:tc>
                <w:tcPr>
                  <w:tcW w:w="6733" w:type="dxa"/>
                </w:tcPr>
                <w:p w14:paraId="74D9251B" w14:textId="77777777" w:rsidR="00BB62F4" w:rsidRDefault="00BB62F4"/>
              </w:tc>
            </w:tr>
          </w:tbl>
          <w:p w14:paraId="1E57B5FC" w14:textId="77777777" w:rsidR="00BB62F4" w:rsidRDefault="00BB62F4">
            <w:pPr>
              <w:rPr>
                <w:i/>
                <w:iCs/>
              </w:rPr>
            </w:pPr>
          </w:p>
        </w:tc>
      </w:tr>
    </w:tbl>
    <w:p w14:paraId="1AD2959A" w14:textId="77777777" w:rsidR="00BB62F4" w:rsidRDefault="00BB62F4"/>
    <w:p w14:paraId="1BC1EF64" w14:textId="77777777" w:rsidR="00BB62F4" w:rsidRDefault="00000000">
      <w:pPr>
        <w:spacing w:before="0" w:after="0"/>
      </w:pPr>
      <w:r>
        <w:br w:type="page"/>
      </w:r>
    </w:p>
    <w:p w14:paraId="7A099CE0" w14:textId="77777777" w:rsidR="00BB62F4" w:rsidRDefault="00000000">
      <w:pPr>
        <w:pStyle w:val="Heading1"/>
        <w:rPr>
          <w:b/>
          <w:bCs/>
        </w:rPr>
      </w:pPr>
      <w:bookmarkStart w:id="22" w:name="_heading=h.3sbmhs4fbyhm" w:colFirst="0" w:colLast="0"/>
      <w:bookmarkEnd w:id="22"/>
      <w:r>
        <w:rPr>
          <w:b/>
          <w:bCs/>
        </w:rPr>
        <w:lastRenderedPageBreak/>
        <w:t>Requirement 2.4:</w:t>
      </w:r>
      <w:r>
        <w:t xml:space="preserve"> </w:t>
      </w:r>
      <w:r>
        <w:rPr>
          <w:b/>
          <w:bCs/>
        </w:rPr>
        <w:t xml:space="preserve">Contracts and licenses </w:t>
      </w:r>
    </w:p>
    <w:p w14:paraId="5DD43D80" w14:textId="77777777" w:rsidR="00BB62F4" w:rsidRDefault="00000000">
      <w:pPr>
        <w:pStyle w:val="Heading2"/>
        <w:numPr>
          <w:ilvl w:val="0"/>
          <w:numId w:val="69"/>
        </w:numPr>
      </w:pPr>
      <w:bookmarkStart w:id="23" w:name="_heading=h.3dpr8cm7jcql" w:colFirst="0" w:colLast="0"/>
      <w:bookmarkEnd w:id="23"/>
      <w:r>
        <w:t>Resources</w:t>
      </w:r>
    </w:p>
    <w:tbl>
      <w:tblPr>
        <w:tblStyle w:val="af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05AA9313" w14:textId="77777777">
        <w:tc>
          <w:tcPr>
            <w:tcW w:w="9062" w:type="dxa"/>
            <w:tcBorders>
              <w:top w:val="nil"/>
              <w:left w:val="nil"/>
              <w:bottom w:val="nil"/>
              <w:right w:val="nil"/>
            </w:tcBorders>
            <w:shd w:val="clear" w:color="auto" w:fill="EDF1F9"/>
          </w:tcPr>
          <w:p w14:paraId="324848B8" w14:textId="77777777" w:rsidR="00BB62F4" w:rsidRDefault="00000000">
            <w:pPr>
              <w:numPr>
                <w:ilvl w:val="0"/>
                <w:numId w:val="68"/>
              </w:numPr>
              <w:pBdr>
                <w:top w:val="nil"/>
                <w:left w:val="nil"/>
                <w:bottom w:val="nil"/>
                <w:right w:val="nil"/>
                <w:between w:val="nil"/>
              </w:pBdr>
              <w:rPr>
                <w:color w:val="000000"/>
              </w:rPr>
            </w:pPr>
            <w:hyperlink r:id="rId131" w:anchor="_4-contracts-and-licenses--17292">
              <w:r>
                <w:rPr>
                  <w:color w:val="0000FF"/>
                  <w:u w:val="single"/>
                </w:rPr>
                <w:t>Requirement in full</w:t>
              </w:r>
            </w:hyperlink>
            <w:r>
              <w:rPr>
                <w:color w:val="000000"/>
              </w:rPr>
              <w:t xml:space="preserve">, </w:t>
            </w:r>
            <w:hyperlink r:id="rId132" w:anchor="requirement-24-contract-and-license-disclosures-18979">
              <w:r>
                <w:rPr>
                  <w:color w:val="0000FF"/>
                  <w:u w:val="single"/>
                </w:rPr>
                <w:t>Validation guide</w:t>
              </w:r>
            </w:hyperlink>
          </w:p>
          <w:p w14:paraId="1A1A7FEE" w14:textId="77777777" w:rsidR="00BB62F4" w:rsidRDefault="00000000">
            <w:pPr>
              <w:numPr>
                <w:ilvl w:val="0"/>
                <w:numId w:val="68"/>
              </w:numPr>
              <w:pBdr>
                <w:top w:val="nil"/>
                <w:left w:val="nil"/>
                <w:bottom w:val="nil"/>
                <w:right w:val="nil"/>
                <w:between w:val="nil"/>
              </w:pBdr>
              <w:rPr>
                <w:color w:val="000000"/>
              </w:rPr>
            </w:pPr>
            <w:r>
              <w:rPr>
                <w:color w:val="000000"/>
              </w:rPr>
              <w:t xml:space="preserve">Relevant guidance notes: </w:t>
            </w:r>
            <w:hyperlink r:id="rId133">
              <w:r>
                <w:rPr>
                  <w:color w:val="0000FF"/>
                  <w:u w:val="single"/>
                </w:rPr>
                <w:t>Contracts</w:t>
              </w:r>
            </w:hyperlink>
          </w:p>
        </w:tc>
      </w:tr>
    </w:tbl>
    <w:p w14:paraId="7BD8E98F" w14:textId="77777777" w:rsidR="00BB62F4" w:rsidRDefault="00000000">
      <w:pPr>
        <w:pStyle w:val="Heading2"/>
        <w:numPr>
          <w:ilvl w:val="0"/>
          <w:numId w:val="69"/>
        </w:numPr>
      </w:pPr>
      <w:bookmarkStart w:id="24" w:name="_heading=h.fnsdnoxk2vao" w:colFirst="0" w:colLast="0"/>
      <w:bookmarkEnd w:id="24"/>
      <w:r>
        <w:t xml:space="preserve">Corrective actions / recommendations from previous Validation </w:t>
      </w:r>
    </w:p>
    <w:p w14:paraId="4B8512DA" w14:textId="77777777" w:rsidR="00BB62F4" w:rsidRDefault="00000000">
      <w:pPr>
        <w:pBdr>
          <w:top w:val="nil"/>
          <w:left w:val="nil"/>
          <w:bottom w:val="nil"/>
          <w:right w:val="nil"/>
          <w:between w:val="nil"/>
        </w:pBdr>
        <w:spacing w:before="0" w:after="0" w:line="276" w:lineRule="auto"/>
        <w:rPr>
          <w:color w:val="595959"/>
        </w:rPr>
      </w:pPr>
      <w:r>
        <w:rPr>
          <w:rFonts w:ascii="MS Gothic" w:eastAsia="MS Gothic" w:hAnsi="MS Gothic" w:cs="MS Gothic"/>
          <w:color w:val="595959"/>
        </w:rPr>
        <w:t>ⓘ</w:t>
      </w:r>
      <w:r>
        <w:rPr>
          <w:color w:val="595959"/>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14:paraId="4B31116F" w14:textId="77777777" w:rsidR="00BB62F4" w:rsidRDefault="00BB62F4">
      <w:pPr>
        <w:pBdr>
          <w:top w:val="nil"/>
          <w:left w:val="nil"/>
          <w:bottom w:val="nil"/>
          <w:right w:val="nil"/>
          <w:between w:val="nil"/>
        </w:pBdr>
        <w:spacing w:before="0" w:after="0" w:line="276" w:lineRule="auto"/>
        <w:rPr>
          <w:color w:val="595959"/>
        </w:rPr>
      </w:pPr>
    </w:p>
    <w:tbl>
      <w:tblPr>
        <w:tblStyle w:val="af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3E19D511" w14:textId="77777777">
        <w:tc>
          <w:tcPr>
            <w:tcW w:w="9062" w:type="dxa"/>
            <w:tcBorders>
              <w:top w:val="nil"/>
              <w:left w:val="nil"/>
              <w:bottom w:val="nil"/>
              <w:right w:val="nil"/>
            </w:tcBorders>
            <w:shd w:val="clear" w:color="auto" w:fill="F2F2F2"/>
          </w:tcPr>
          <w:p w14:paraId="347699CE" w14:textId="77777777" w:rsidR="00BB62F4" w:rsidRDefault="00000000">
            <w:pPr>
              <w:pBdr>
                <w:top w:val="nil"/>
                <w:left w:val="nil"/>
                <w:bottom w:val="nil"/>
                <w:right w:val="nil"/>
                <w:between w:val="nil"/>
              </w:pBdr>
              <w:spacing w:line="276" w:lineRule="auto"/>
              <w:rPr>
                <w:color w:val="000000"/>
              </w:rPr>
            </w:pPr>
            <w:r>
              <w:rPr>
                <w:color w:val="000000"/>
              </w:rPr>
              <w:t>Insert recommendation and or corrective action from previous Validation or targeted assessment, if applicable. Indicate the status of addressing the corrective actions, if applicable. If this is a first Validation, this section can be left blank.</w:t>
            </w:r>
          </w:p>
          <w:p w14:paraId="44F73C71"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sz w:val="24"/>
                <w:szCs w:val="24"/>
              </w:rPr>
              <w:t>Requirement 2.4: Corrective Action</w:t>
            </w:r>
          </w:p>
          <w:p w14:paraId="5BD69543" w14:textId="77777777"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sz w:val="24"/>
                <w:szCs w:val="24"/>
              </w:rPr>
              <w:t>Nigeria is required to disclose any contracts and licenses that are granted, entered into or amended from 1 January 2021. Nigeria is encouraged to publicly disclose any contracts and licenses that provide the terms attached to the exploitation of oil, gas and minerals. The multi-stakeholder group is expected to agree and publish a plan for disclosing contracts with a clear time frame for implementation addressing any barriers to comprehensive disclosure. Nigeria should provide a list of all active contracts and licenses (including annexes, amendments and riders), indicating which are publicly available and which are not. For all published contracts and licenses, it should Ide a reference or link to the location where the contract or license is published. If a contract or license is not published, the legal or practical barriers should be documented and explained. Where disclosure practice deviates from legislative or government policy requirements concerning the disclosure of contracts and licenses, an explanation for the deviation should be provided.</w:t>
            </w:r>
          </w:p>
          <w:p w14:paraId="52291FDA" w14:textId="77777777" w:rsidR="00BB62F4" w:rsidRDefault="00BB62F4">
            <w:pPr>
              <w:pBdr>
                <w:top w:val="nil"/>
                <w:left w:val="nil"/>
                <w:bottom w:val="nil"/>
                <w:right w:val="nil"/>
                <w:between w:val="nil"/>
              </w:pBdr>
              <w:spacing w:line="276" w:lineRule="auto"/>
              <w:rPr>
                <w:color w:val="000000"/>
              </w:rPr>
            </w:pPr>
          </w:p>
          <w:p w14:paraId="0EB7D959" w14:textId="77777777" w:rsidR="00BB62F4" w:rsidRDefault="00BB62F4">
            <w:pPr>
              <w:pBdr>
                <w:top w:val="nil"/>
                <w:left w:val="nil"/>
                <w:bottom w:val="nil"/>
                <w:right w:val="nil"/>
                <w:between w:val="nil"/>
              </w:pBdr>
              <w:spacing w:line="276" w:lineRule="auto"/>
              <w:rPr>
                <w:color w:val="000000"/>
              </w:rPr>
            </w:pPr>
          </w:p>
        </w:tc>
      </w:tr>
    </w:tbl>
    <w:p w14:paraId="000FCDB0" w14:textId="77777777" w:rsidR="00BB62F4" w:rsidRDefault="00000000">
      <w:pPr>
        <w:pStyle w:val="Heading2"/>
        <w:numPr>
          <w:ilvl w:val="0"/>
          <w:numId w:val="69"/>
        </w:numPr>
      </w:pPr>
      <w:bookmarkStart w:id="25" w:name="_heading=h.swmhn1gfrrjs" w:colFirst="0" w:colLast="0"/>
      <w:bookmarkEnd w:id="25"/>
      <w:r>
        <w:t>Self-assessment</w:t>
      </w:r>
    </w:p>
    <w:p w14:paraId="79528A9D" w14:textId="77777777" w:rsidR="00BB62F4" w:rsidRDefault="00000000">
      <w:pPr>
        <w:pBdr>
          <w:top w:val="nil"/>
          <w:left w:val="nil"/>
          <w:bottom w:val="nil"/>
          <w:right w:val="nil"/>
          <w:between w:val="nil"/>
        </w:pBdr>
        <w:spacing w:before="0" w:after="0" w:line="276" w:lineRule="auto"/>
        <w:rPr>
          <w:color w:val="595959"/>
        </w:rPr>
      </w:pPr>
      <w:r>
        <w:rPr>
          <w:rFonts w:ascii="MS Mincho" w:eastAsia="MS Mincho" w:hAnsi="MS Mincho" w:cs="MS Mincho"/>
          <w:color w:val="595959"/>
          <w:sz w:val="18"/>
          <w:szCs w:val="18"/>
        </w:rPr>
        <w:t xml:space="preserve">ⓘ </w:t>
      </w:r>
      <w:r>
        <w:rPr>
          <w:color w:val="595959"/>
        </w:rPr>
        <w:t>The self-assessment allows the MSG to understand the aspects of the requirement and estimate its progress towards meeting it.</w:t>
      </w:r>
      <w:r>
        <w:rPr>
          <w:color w:val="595959"/>
          <w:sz w:val="18"/>
          <w:szCs w:val="18"/>
        </w:rPr>
        <w:t xml:space="preserve"> </w:t>
      </w:r>
      <w:r>
        <w:rPr>
          <w:color w:val="595959"/>
        </w:rPr>
        <w:t xml:space="preserve">Diverging views within the constituency or between constituencies can be documented in the form. </w:t>
      </w:r>
    </w:p>
    <w:p w14:paraId="6E9C9348" w14:textId="77777777" w:rsidR="00BB62F4" w:rsidRDefault="00BB62F4">
      <w:pPr>
        <w:pBdr>
          <w:top w:val="nil"/>
          <w:left w:val="nil"/>
          <w:bottom w:val="nil"/>
          <w:right w:val="nil"/>
          <w:between w:val="nil"/>
        </w:pBdr>
        <w:spacing w:before="0" w:after="0" w:line="276" w:lineRule="auto"/>
        <w:rPr>
          <w:color w:val="595959"/>
        </w:rPr>
      </w:pPr>
    </w:p>
    <w:p w14:paraId="07CB2E84" w14:textId="77777777" w:rsidR="00BB62F4" w:rsidRDefault="00000000">
      <w:pPr>
        <w:pStyle w:val="Heading3"/>
      </w:pPr>
      <w:bookmarkStart w:id="26" w:name="_heading=h.8taono3oz4al" w:colFirst="0" w:colLast="0"/>
      <w:bookmarkEnd w:id="26"/>
      <w:r>
        <w:lastRenderedPageBreak/>
        <w:t>Holders of information</w:t>
      </w:r>
    </w:p>
    <w:p w14:paraId="18C42D16" w14:textId="77777777" w:rsidR="00BB62F4" w:rsidRDefault="00000000">
      <w:pPr>
        <w:spacing w:line="276" w:lineRule="auto"/>
        <w:rPr>
          <w:color w:val="595959"/>
        </w:rPr>
      </w:pPr>
      <w:r>
        <w:rPr>
          <w:rFonts w:ascii="MS Gothic" w:eastAsia="MS Gothic" w:hAnsi="MS Gothic" w:cs="MS Gothic"/>
          <w:color w:val="7F7F7F"/>
        </w:rPr>
        <w:t>ⓘ</w:t>
      </w:r>
      <w:r>
        <w:rPr>
          <w:color w:val="7F7F7F"/>
        </w:rPr>
        <w:t xml:space="preserve"> </w:t>
      </w:r>
      <w:r>
        <w:rPr>
          <w:color w:val="595959"/>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14:paraId="39026222" w14:textId="77777777" w:rsidR="00BB62F4" w:rsidRDefault="00BB62F4">
      <w:pPr>
        <w:rPr>
          <w:i/>
          <w:iCs/>
        </w:rPr>
      </w:pPr>
    </w:p>
    <w:tbl>
      <w:tblPr>
        <w:tblStyle w:val="afb"/>
        <w:tblW w:w="9633" w:type="dxa"/>
        <w:tblInd w:w="0" w:type="dxa"/>
        <w:tblLayout w:type="fixed"/>
        <w:tblLook w:val="0400" w:firstRow="0" w:lastRow="0" w:firstColumn="0" w:lastColumn="0" w:noHBand="0" w:noVBand="1"/>
      </w:tblPr>
      <w:tblGrid>
        <w:gridCol w:w="1985"/>
        <w:gridCol w:w="4104"/>
        <w:gridCol w:w="3544"/>
      </w:tblGrid>
      <w:tr w:rsidR="00BB62F4" w14:paraId="7EE35743" w14:textId="77777777">
        <w:trPr>
          <w:trHeight w:val="476"/>
        </w:trPr>
        <w:tc>
          <w:tcPr>
            <w:tcW w:w="1985" w:type="dxa"/>
            <w:tcBorders>
              <w:bottom w:val="single" w:sz="4" w:space="0" w:color="000000"/>
            </w:tcBorders>
            <w:shd w:val="clear" w:color="auto" w:fill="B4C6E7"/>
          </w:tcPr>
          <w:p w14:paraId="2B7B9496" w14:textId="77777777" w:rsidR="00BB62F4" w:rsidRDefault="00BB62F4">
            <w:pPr>
              <w:rPr>
                <w:b/>
                <w:bCs/>
              </w:rPr>
            </w:pPr>
          </w:p>
        </w:tc>
        <w:tc>
          <w:tcPr>
            <w:tcW w:w="4104" w:type="dxa"/>
            <w:tcBorders>
              <w:bottom w:val="single" w:sz="4" w:space="0" w:color="000000"/>
            </w:tcBorders>
            <w:shd w:val="clear" w:color="auto" w:fill="B4C6E7"/>
          </w:tcPr>
          <w:p w14:paraId="3EFFF6FD" w14:textId="77777777" w:rsidR="00BB62F4" w:rsidRDefault="00000000">
            <w:pPr>
              <w:rPr>
                <w:b/>
                <w:bCs/>
              </w:rPr>
            </w:pPr>
            <w:r>
              <w:rPr>
                <w:b/>
                <w:bCs/>
              </w:rPr>
              <w:t>Question</w:t>
            </w:r>
          </w:p>
        </w:tc>
        <w:tc>
          <w:tcPr>
            <w:tcW w:w="3544" w:type="dxa"/>
            <w:tcBorders>
              <w:bottom w:val="single" w:sz="4" w:space="0" w:color="000000"/>
            </w:tcBorders>
            <w:shd w:val="clear" w:color="auto" w:fill="B4C6E7"/>
          </w:tcPr>
          <w:p w14:paraId="7CB32019" w14:textId="77777777" w:rsidR="00BB62F4" w:rsidRDefault="00000000">
            <w:pPr>
              <w:rPr>
                <w:b/>
                <w:bCs/>
              </w:rPr>
            </w:pPr>
            <w:r>
              <w:rPr>
                <w:b/>
                <w:bCs/>
              </w:rPr>
              <w:t>Response</w:t>
            </w:r>
          </w:p>
        </w:tc>
      </w:tr>
      <w:tr w:rsidR="00BB62F4" w14:paraId="4B478AB1" w14:textId="77777777">
        <w:trPr>
          <w:trHeight w:val="1515"/>
        </w:trPr>
        <w:tc>
          <w:tcPr>
            <w:tcW w:w="1985" w:type="dxa"/>
            <w:tcBorders>
              <w:top w:val="single" w:sz="4" w:space="0" w:color="000000"/>
              <w:bottom w:val="single" w:sz="4" w:space="0" w:color="000000"/>
            </w:tcBorders>
          </w:tcPr>
          <w:p w14:paraId="7297B307" w14:textId="77777777" w:rsidR="00BB62F4" w:rsidRDefault="00000000">
            <w:pPr>
              <w:rPr>
                <w:b/>
                <w:bCs/>
              </w:rPr>
            </w:pPr>
            <w:r>
              <w:rPr>
                <w:b/>
                <w:bCs/>
              </w:rPr>
              <w:t>Contract and license disclosure (2.4.a)</w:t>
            </w:r>
          </w:p>
        </w:tc>
        <w:tc>
          <w:tcPr>
            <w:tcW w:w="4104" w:type="dxa"/>
            <w:tcBorders>
              <w:top w:val="single" w:sz="4" w:space="0" w:color="000000"/>
              <w:bottom w:val="single" w:sz="4" w:space="0" w:color="000000"/>
            </w:tcBorders>
          </w:tcPr>
          <w:p w14:paraId="40BBFFF7" w14:textId="77777777" w:rsidR="00BB62F4" w:rsidRDefault="00000000">
            <w:r>
              <w:t xml:space="preserve">Which </w:t>
            </w:r>
            <w:r>
              <w:rPr>
                <w:b/>
                <w:bCs/>
              </w:rPr>
              <w:t>government entity(</w:t>
            </w:r>
            <w:proofErr w:type="spellStart"/>
            <w:r>
              <w:rPr>
                <w:b/>
                <w:bCs/>
              </w:rPr>
              <w:t>ies</w:t>
            </w:r>
            <w:proofErr w:type="spellEnd"/>
            <w:r>
              <w:rPr>
                <w:b/>
                <w:bCs/>
              </w:rPr>
              <w:t>)</w:t>
            </w:r>
            <w:r>
              <w:t xml:space="preserve"> holds the information on all contracts and licenses in the </w:t>
            </w:r>
            <w:r>
              <w:rPr>
                <w:highlight w:val="yellow"/>
              </w:rPr>
              <w:t>oil and gas / mining and quarrying</w:t>
            </w:r>
            <w:r>
              <w:t xml:space="preserve"> </w:t>
            </w:r>
            <w:r>
              <w:rPr>
                <w:b/>
                <w:bCs/>
                <w:color w:val="C00000"/>
              </w:rPr>
              <w:t>Oil and gas</w:t>
            </w:r>
            <w:r>
              <w:t xml:space="preserve"> sector? </w:t>
            </w:r>
          </w:p>
        </w:tc>
        <w:tc>
          <w:tcPr>
            <w:tcW w:w="3544" w:type="dxa"/>
            <w:tcBorders>
              <w:top w:val="single" w:sz="4" w:space="0" w:color="000000"/>
              <w:bottom w:val="single" w:sz="4" w:space="0" w:color="000000"/>
            </w:tcBorders>
          </w:tcPr>
          <w:p w14:paraId="07577A48" w14:textId="77777777" w:rsidR="00BB62F4" w:rsidRDefault="00000000">
            <w:r>
              <w:rPr>
                <w:shd w:val="clear" w:color="auto" w:fill="D9E2F3"/>
              </w:rPr>
              <w:t xml:space="preserve">Holder(s) of information: </w:t>
            </w:r>
            <w:hyperlink r:id="rId134">
              <w:r>
                <w:rPr>
                  <w:color w:val="0000FF"/>
                  <w:u w:val="single"/>
                </w:rPr>
                <w:t>NUPRC</w:t>
              </w:r>
            </w:hyperlink>
          </w:p>
          <w:p w14:paraId="41FABD93" w14:textId="77777777" w:rsidR="00BB62F4" w:rsidRDefault="00000000">
            <w:pPr>
              <w:jc w:val="both"/>
            </w:pPr>
            <w:r>
              <w:rPr>
                <w:rFonts w:ascii="EB Garamond" w:eastAsia="EB Garamond" w:hAnsi="EB Garamond" w:cs="EB Garamond"/>
                <w:color w:val="000000"/>
              </w:rPr>
              <w:t xml:space="preserve">The Petroleum Industry Act (PIA) 2021 empowers </w:t>
            </w:r>
            <w:proofErr w:type="gramStart"/>
            <w:r>
              <w:rPr>
                <w:rFonts w:ascii="EB Garamond" w:eastAsia="EB Garamond" w:hAnsi="EB Garamond" w:cs="EB Garamond"/>
                <w:color w:val="000000"/>
              </w:rPr>
              <w:t>The</w:t>
            </w:r>
            <w:proofErr w:type="gramEnd"/>
            <w:r>
              <w:rPr>
                <w:rFonts w:ascii="EB Garamond" w:eastAsia="EB Garamond" w:hAnsi="EB Garamond" w:cs="EB Garamond"/>
                <w:color w:val="000000"/>
              </w:rPr>
              <w:t xml:space="preserve"> “Commission” Nigerian Upstream Petroleum Regulatory Commission (NUPRC) and </w:t>
            </w:r>
            <w:proofErr w:type="gramStart"/>
            <w:r>
              <w:rPr>
                <w:rFonts w:ascii="EB Garamond" w:eastAsia="EB Garamond" w:hAnsi="EB Garamond" w:cs="EB Garamond"/>
                <w:color w:val="000000"/>
              </w:rPr>
              <w:t>The</w:t>
            </w:r>
            <w:proofErr w:type="gramEnd"/>
            <w:r>
              <w:rPr>
                <w:rFonts w:ascii="EB Garamond" w:eastAsia="EB Garamond" w:hAnsi="EB Garamond" w:cs="EB Garamond"/>
                <w:color w:val="000000"/>
              </w:rPr>
              <w:t xml:space="preserve"> “Authority” Nigerian Midstream and Downstream Petroleum Regulatory Authority (NMDPRA) pursuant to its power under the PIA 2021 holds the information of all contracts and licenses in the oil and gas sector</w:t>
            </w:r>
          </w:p>
        </w:tc>
      </w:tr>
      <w:tr w:rsidR="00BB62F4" w14:paraId="7A843E81" w14:textId="77777777">
        <w:trPr>
          <w:trHeight w:val="1515"/>
        </w:trPr>
        <w:tc>
          <w:tcPr>
            <w:tcW w:w="1985" w:type="dxa"/>
            <w:tcBorders>
              <w:top w:val="single" w:sz="4" w:space="0" w:color="000000"/>
              <w:bottom w:val="single" w:sz="4" w:space="0" w:color="000000"/>
            </w:tcBorders>
          </w:tcPr>
          <w:p w14:paraId="12A07D6C" w14:textId="77777777" w:rsidR="00BB62F4" w:rsidRDefault="00000000">
            <w:pPr>
              <w:rPr>
                <w:b/>
                <w:bCs/>
              </w:rPr>
            </w:pPr>
            <w:r>
              <w:rPr>
                <w:b/>
                <w:bCs/>
              </w:rPr>
              <w:t>Government’s policy on contract and license disclosure (2.4.c)</w:t>
            </w:r>
          </w:p>
        </w:tc>
        <w:tc>
          <w:tcPr>
            <w:tcW w:w="4104" w:type="dxa"/>
            <w:tcBorders>
              <w:top w:val="single" w:sz="4" w:space="0" w:color="000000"/>
              <w:bottom w:val="single" w:sz="4" w:space="0" w:color="000000"/>
            </w:tcBorders>
          </w:tcPr>
          <w:p w14:paraId="31F858E6" w14:textId="77777777" w:rsidR="00BB62F4" w:rsidRDefault="00000000">
            <w:r>
              <w:t xml:space="preserve">Which </w:t>
            </w:r>
            <w:r>
              <w:rPr>
                <w:b/>
                <w:bCs/>
              </w:rPr>
              <w:t>government entity(</w:t>
            </w:r>
            <w:proofErr w:type="spellStart"/>
            <w:r>
              <w:rPr>
                <w:b/>
                <w:bCs/>
              </w:rPr>
              <w:t>ies</w:t>
            </w:r>
            <w:proofErr w:type="spellEnd"/>
            <w:r>
              <w:rPr>
                <w:b/>
                <w:bCs/>
              </w:rPr>
              <w:t>)</w:t>
            </w:r>
            <w:r>
              <w:t xml:space="preserve"> is responsible for the government’s policy on contract and license disclosure in the </w:t>
            </w:r>
            <w:r>
              <w:rPr>
                <w:highlight w:val="yellow"/>
              </w:rPr>
              <w:t>oil and gas / mining and quarrying</w:t>
            </w:r>
            <w:r>
              <w:t xml:space="preserve"> </w:t>
            </w:r>
            <w:r>
              <w:rPr>
                <w:b/>
                <w:bCs/>
                <w:color w:val="C00000"/>
              </w:rPr>
              <w:t>Oil and gas</w:t>
            </w:r>
            <w:r>
              <w:t xml:space="preserve"> sector? </w:t>
            </w:r>
          </w:p>
        </w:tc>
        <w:tc>
          <w:tcPr>
            <w:tcW w:w="3544" w:type="dxa"/>
            <w:tcBorders>
              <w:top w:val="single" w:sz="4" w:space="0" w:color="000000"/>
              <w:bottom w:val="single" w:sz="4" w:space="0" w:color="000000"/>
            </w:tcBorders>
          </w:tcPr>
          <w:p w14:paraId="1F774008" w14:textId="77777777" w:rsidR="00BB62F4"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D9E2F3"/>
              </w:rPr>
              <w:t>Holder(s) of information:</w:t>
            </w:r>
            <w:r>
              <w:rPr>
                <w:rFonts w:ascii="Times New Roman" w:eastAsia="Times New Roman" w:hAnsi="Times New Roman" w:cs="Times New Roman"/>
                <w:color w:val="000000"/>
                <w:sz w:val="24"/>
                <w:szCs w:val="24"/>
              </w:rPr>
              <w:t xml:space="preserve"> </w:t>
            </w:r>
            <w:hyperlink r:id="rId135">
              <w:r>
                <w:rPr>
                  <w:rFonts w:ascii="Times New Roman" w:eastAsia="Times New Roman" w:hAnsi="Times New Roman" w:cs="Times New Roman"/>
                  <w:color w:val="0000FF"/>
                  <w:sz w:val="24"/>
                  <w:szCs w:val="24"/>
                  <w:u w:val="single"/>
                </w:rPr>
                <w:t>NUPRC</w:t>
              </w:r>
            </w:hyperlink>
          </w:p>
          <w:p w14:paraId="3CE02988" w14:textId="77777777" w:rsidR="00BB62F4"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EB Garamond" w:eastAsia="EB Garamond" w:hAnsi="EB Garamond" w:cs="EB Garamond"/>
                <w:color w:val="000000"/>
                <w:sz w:val="24"/>
                <w:szCs w:val="24"/>
              </w:rPr>
              <w:t xml:space="preserve"> </w:t>
            </w:r>
            <w:r>
              <w:rPr>
                <w:rFonts w:ascii="EB Garamond" w:eastAsia="EB Garamond" w:hAnsi="EB Garamond" w:cs="EB Garamond"/>
                <w:color w:val="000000"/>
              </w:rPr>
              <w:t>Following the enactment of the Petroleum Industry Act (PIA) 2021, the responsible entity(s) for the government’s policy on contract and license disclosures in Nigeria’s oil and gas sector is shared among several key government entities which include:</w:t>
            </w:r>
          </w:p>
          <w:p w14:paraId="7EA609D7" w14:textId="77777777" w:rsidR="00BB62F4" w:rsidRDefault="00000000">
            <w:pPr>
              <w:numPr>
                <w:ilvl w:val="0"/>
                <w:numId w:val="37"/>
              </w:numPr>
              <w:rPr>
                <w:rFonts w:ascii="EB Garamond" w:eastAsia="EB Garamond" w:hAnsi="EB Garamond" w:cs="EB Garamond"/>
                <w:color w:val="000000"/>
              </w:rPr>
            </w:pPr>
            <w:r>
              <w:rPr>
                <w:rFonts w:ascii="EB Garamond" w:eastAsia="EB Garamond" w:hAnsi="EB Garamond" w:cs="EB Garamond"/>
                <w:color w:val="000000"/>
                <w:shd w:val="clear" w:color="auto" w:fill="D9E2F3"/>
              </w:rPr>
              <w:t>NUPRC is the main regulatory body for the upstream sector.</w:t>
            </w:r>
          </w:p>
          <w:p w14:paraId="42D4693A" w14:textId="77777777" w:rsidR="00BB62F4" w:rsidRDefault="00000000">
            <w:pPr>
              <w:numPr>
                <w:ilvl w:val="0"/>
                <w:numId w:val="37"/>
              </w:numPr>
              <w:rPr>
                <w:rFonts w:ascii="EB Garamond" w:eastAsia="EB Garamond" w:hAnsi="EB Garamond" w:cs="EB Garamond"/>
                <w:color w:val="000000"/>
              </w:rPr>
            </w:pPr>
            <w:r>
              <w:rPr>
                <w:rFonts w:ascii="EB Garamond" w:eastAsia="EB Garamond" w:hAnsi="EB Garamond" w:cs="EB Garamond"/>
                <w:color w:val="000000"/>
                <w:shd w:val="clear" w:color="auto" w:fill="D9E2F3"/>
              </w:rPr>
              <w:t>NEITI   acts as the oversight and monitoring body that ensures compliance with global transparency standards (EITI). NEITI established a joint committee “Joint Inter-Agency Committee” comprising the Federal Ministry of Justice, Ministry of Petroleum Resources, NNPC Limited and the NUPRC to manage the public disclosure of oil and gas contract and license</w:t>
            </w:r>
          </w:p>
          <w:p w14:paraId="69D5B41A" w14:textId="77777777" w:rsidR="00BB62F4" w:rsidRDefault="00000000">
            <w:pPr>
              <w:numPr>
                <w:ilvl w:val="0"/>
                <w:numId w:val="37"/>
              </w:numPr>
              <w:rPr>
                <w:rFonts w:ascii="EB Garamond" w:eastAsia="EB Garamond" w:hAnsi="EB Garamond" w:cs="EB Garamond"/>
                <w:color w:val="000000"/>
              </w:rPr>
            </w:pPr>
            <w:r>
              <w:rPr>
                <w:rFonts w:ascii="EB Garamond" w:eastAsia="EB Garamond" w:hAnsi="EB Garamond" w:cs="EB Garamond"/>
                <w:color w:val="000000"/>
                <w:shd w:val="clear" w:color="auto" w:fill="D9E2F3"/>
              </w:rPr>
              <w:t>Ministry of Petroleum Resources formulates the overall policy direction and grants licenses and leases on behalf of the government.</w:t>
            </w:r>
          </w:p>
          <w:p w14:paraId="466B4813" w14:textId="77777777" w:rsidR="00BB62F4" w:rsidRDefault="00000000">
            <w:pPr>
              <w:numPr>
                <w:ilvl w:val="0"/>
                <w:numId w:val="37"/>
              </w:numPr>
              <w:rPr>
                <w:rFonts w:ascii="EB Garamond" w:eastAsia="EB Garamond" w:hAnsi="EB Garamond" w:cs="EB Garamond"/>
                <w:color w:val="000000"/>
              </w:rPr>
            </w:pPr>
            <w:r>
              <w:rPr>
                <w:rFonts w:ascii="EB Garamond" w:eastAsia="EB Garamond" w:hAnsi="EB Garamond" w:cs="EB Garamond"/>
                <w:color w:val="000000"/>
                <w:shd w:val="clear" w:color="auto" w:fill="D9E2F3"/>
              </w:rPr>
              <w:lastRenderedPageBreak/>
              <w:t>NMDPRA regulates midstream and downstream activities.</w:t>
            </w:r>
          </w:p>
          <w:p w14:paraId="1CB8D9B2" w14:textId="77777777" w:rsidR="00BB62F4" w:rsidRDefault="00BB62F4">
            <w:pPr>
              <w:rPr>
                <w:shd w:val="clear" w:color="auto" w:fill="D9E2F3"/>
              </w:rPr>
            </w:pPr>
          </w:p>
        </w:tc>
      </w:tr>
    </w:tbl>
    <w:p w14:paraId="3E5EC796" w14:textId="77777777" w:rsidR="00BB62F4" w:rsidRDefault="00BB62F4"/>
    <w:p w14:paraId="551B8E8C" w14:textId="77777777" w:rsidR="00BB62F4" w:rsidRDefault="00000000">
      <w:pPr>
        <w:pStyle w:val="Heading3"/>
      </w:pPr>
      <w:bookmarkStart w:id="27" w:name="_heading=h.bondpctxs6z0" w:colFirst="0" w:colLast="0"/>
      <w:bookmarkEnd w:id="27"/>
      <w:r>
        <w:t>Technical requirements</w:t>
      </w:r>
    </w:p>
    <w:tbl>
      <w:tblPr>
        <w:tblStyle w:val="af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6"/>
        <w:gridCol w:w="7966"/>
      </w:tblGrid>
      <w:tr w:rsidR="00BB62F4" w14:paraId="007A92D8" w14:textId="77777777">
        <w:tc>
          <w:tcPr>
            <w:tcW w:w="1096" w:type="dxa"/>
            <w:shd w:val="clear" w:color="auto" w:fill="B4C6E7"/>
          </w:tcPr>
          <w:p w14:paraId="1D386E86" w14:textId="77777777" w:rsidR="00BB62F4" w:rsidRDefault="00000000">
            <w:pPr>
              <w:rPr>
                <w:b/>
                <w:bCs/>
              </w:rPr>
            </w:pPr>
            <w:r>
              <w:rPr>
                <w:b/>
                <w:bCs/>
              </w:rPr>
              <w:t>Required</w:t>
            </w:r>
          </w:p>
        </w:tc>
        <w:tc>
          <w:tcPr>
            <w:tcW w:w="7966" w:type="dxa"/>
            <w:shd w:val="clear" w:color="auto" w:fill="B4C6E7"/>
          </w:tcPr>
          <w:p w14:paraId="18F4C01B" w14:textId="77777777" w:rsidR="00BB62F4" w:rsidRDefault="00000000">
            <w:pPr>
              <w:rPr>
                <w:b/>
                <w:bCs/>
              </w:rPr>
            </w:pPr>
            <w:r>
              <w:rPr>
                <w:b/>
                <w:bCs/>
              </w:rPr>
              <w:t>#2.4.</w:t>
            </w:r>
            <w:proofErr w:type="gramStart"/>
            <w:r>
              <w:rPr>
                <w:b/>
                <w:bCs/>
              </w:rPr>
              <w:t>c.ii</w:t>
            </w:r>
            <w:proofErr w:type="gramEnd"/>
            <w:r>
              <w:rPr>
                <w:b/>
                <w:bCs/>
              </w:rPr>
              <w:t xml:space="preserve"> – Overview of publicly available contracts and licenses</w:t>
            </w:r>
          </w:p>
        </w:tc>
      </w:tr>
      <w:tr w:rsidR="00BB62F4" w14:paraId="266D7CAB" w14:textId="77777777">
        <w:tc>
          <w:tcPr>
            <w:tcW w:w="1096" w:type="dxa"/>
            <w:shd w:val="clear" w:color="auto" w:fill="FFFFFF"/>
          </w:tcPr>
          <w:p w14:paraId="7960236F" w14:textId="77777777" w:rsidR="00BB62F4" w:rsidRDefault="00000000">
            <w:pPr>
              <w:rPr>
                <w:b/>
                <w:bCs/>
              </w:rPr>
            </w:pPr>
            <w:r>
              <w:rPr>
                <w:i/>
                <w:iCs/>
              </w:rPr>
              <w:t>Availability</w:t>
            </w:r>
          </w:p>
        </w:tc>
        <w:tc>
          <w:tcPr>
            <w:tcW w:w="7966" w:type="dxa"/>
            <w:shd w:val="clear" w:color="auto" w:fill="FFFFFF"/>
          </w:tcPr>
          <w:p w14:paraId="783C57A7" w14:textId="77777777" w:rsidR="00BB62F4" w:rsidRDefault="00000000">
            <w:pPr>
              <w:rPr>
                <w:b/>
                <w:bCs/>
              </w:rPr>
            </w:pPr>
            <w:r>
              <w:rPr>
                <w:b/>
                <w:bCs/>
              </w:rPr>
              <w:t xml:space="preserve">Has the MSG published a list of all active production and exploration contracts </w:t>
            </w:r>
            <w:r>
              <w:rPr>
                <w:b/>
                <w:bCs/>
                <w:u w:val="single"/>
              </w:rPr>
              <w:t>and</w:t>
            </w:r>
            <w:r>
              <w:rPr>
                <w:b/>
                <w:bCs/>
              </w:rPr>
              <w:t xml:space="preserve"> licenses?</w:t>
            </w:r>
          </w:p>
          <w:p w14:paraId="3DFB907D" w14:textId="77777777" w:rsidR="00BB62F4" w:rsidRDefault="00000000">
            <w:sdt>
              <w:sdtPr>
                <w:tag w:val="goog_rdk_16"/>
                <w:id w:val="-927942917"/>
              </w:sdtPr>
              <w:sdtContent>
                <w:r>
                  <w:rPr>
                    <w:rFonts w:ascii="Arial Unicode MS" w:eastAsia="Arial Unicode MS" w:hAnsi="Arial Unicode MS" w:cs="Arial Unicode MS"/>
                  </w:rPr>
                  <w:t>☐</w:t>
                </w:r>
              </w:sdtContent>
            </w:sdt>
            <w:r>
              <w:t xml:space="preserve"> </w:t>
            </w:r>
            <w:r>
              <w:rPr>
                <w:shd w:val="clear" w:color="auto" w:fill="D9E2F3"/>
              </w:rPr>
              <w:t>Yes</w:t>
            </w:r>
            <w:r>
              <w:t xml:space="preserve">     </w:t>
            </w:r>
            <w:r>
              <w:rPr>
                <w:rFonts w:ascii="MS Gothic" w:eastAsia="MS Gothic" w:hAnsi="MS Gothic" w:cs="MS Gothic"/>
              </w:rPr>
              <w:t>☒</w:t>
            </w:r>
            <w:r>
              <w:t xml:space="preserve"> </w:t>
            </w:r>
            <w:r>
              <w:rPr>
                <w:shd w:val="clear" w:color="auto" w:fill="D9E2F3"/>
              </w:rPr>
              <w:t xml:space="preserve">No  </w:t>
            </w:r>
            <w:r>
              <w:t xml:space="preserve"> </w:t>
            </w:r>
          </w:p>
          <w:p w14:paraId="76E2D7C2" w14:textId="77777777" w:rsidR="00BB62F4" w:rsidRDefault="00000000">
            <w:r>
              <w:t>Does the list indicate which contracts and licenses are publicly available and which are not?</w:t>
            </w:r>
          </w:p>
          <w:p w14:paraId="777C3133" w14:textId="77777777" w:rsidR="00BB62F4" w:rsidRDefault="00000000">
            <w:r>
              <w:rPr>
                <w:rFonts w:ascii="MS Gothic" w:eastAsia="MS Gothic" w:hAnsi="MS Gothic" w:cs="MS Gothic"/>
              </w:rPr>
              <w:t>☒</w:t>
            </w:r>
            <w:r>
              <w:t xml:space="preserve"> </w:t>
            </w:r>
            <w:r>
              <w:rPr>
                <w:shd w:val="clear" w:color="auto" w:fill="D9E2F3"/>
              </w:rPr>
              <w:t>Yes</w:t>
            </w:r>
            <w:r>
              <w:t xml:space="preserve">     </w:t>
            </w:r>
            <w:sdt>
              <w:sdtPr>
                <w:tag w:val="goog_rdk_17"/>
                <w:id w:val="-1562269468"/>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727857F4" w14:textId="77777777" w:rsidR="00BB62F4" w:rsidRDefault="00000000">
            <w:r>
              <w:t>For all published contracts and licenses, does the overview provide a reference or link to the location where the contract or license is published?</w:t>
            </w:r>
          </w:p>
          <w:p w14:paraId="0DD3112C" w14:textId="77777777" w:rsidR="00BB62F4" w:rsidRDefault="00000000">
            <w:r>
              <w:rPr>
                <w:rFonts w:ascii="MS Gothic" w:eastAsia="MS Gothic" w:hAnsi="MS Gothic" w:cs="MS Gothic"/>
              </w:rPr>
              <w:t>☒</w:t>
            </w:r>
            <w:r>
              <w:t xml:space="preserve"> </w:t>
            </w:r>
            <w:r>
              <w:rPr>
                <w:shd w:val="clear" w:color="auto" w:fill="D9E2F3"/>
              </w:rPr>
              <w:t>Yes</w:t>
            </w:r>
            <w:r>
              <w:t xml:space="preserve">     </w:t>
            </w:r>
            <w:sdt>
              <w:sdtPr>
                <w:tag w:val="goog_rdk_18"/>
                <w:id w:val="-157551769"/>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75467D41" w14:textId="77777777" w:rsidR="00BB62F4" w:rsidRDefault="00000000">
            <w:r>
              <w:t>Are legal or practical barriers to the publication of any contract or license documented and explained?</w:t>
            </w:r>
          </w:p>
          <w:p w14:paraId="2C401044" w14:textId="77777777" w:rsidR="00BB62F4" w:rsidRDefault="00000000">
            <w:r>
              <w:rPr>
                <w:rFonts w:ascii="MS Gothic" w:eastAsia="MS Gothic" w:hAnsi="MS Gothic" w:cs="MS Gothic"/>
              </w:rPr>
              <w:t>☒</w:t>
            </w:r>
            <w:r>
              <w:t xml:space="preserve"> </w:t>
            </w:r>
            <w:r>
              <w:rPr>
                <w:shd w:val="clear" w:color="auto" w:fill="D9E2F3"/>
              </w:rPr>
              <w:t>Yes</w:t>
            </w:r>
            <w:r>
              <w:t xml:space="preserve">     </w:t>
            </w:r>
            <w:sdt>
              <w:sdtPr>
                <w:tag w:val="goog_rdk_19"/>
                <w:id w:val="1203735251"/>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30BCB8AD" w14:textId="77777777" w:rsidR="00BB62F4" w:rsidRDefault="00000000">
            <w:r>
              <w:rPr>
                <w:shd w:val="clear" w:color="auto" w:fill="D9E2F3"/>
              </w:rPr>
              <w:t>Explain the barriers, if any:</w:t>
            </w:r>
            <w:r>
              <w:t xml:space="preserve"> </w:t>
            </w:r>
          </w:p>
          <w:p w14:paraId="5305929F"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rPr>
              <w:t>The legal and practical barriers to the publication of contracts and licenses are documented and explained under Chapter 2 and Chapter 9 specifically in the section on disclosure of contract and licenses of the NEITI 2023 oil and gas report</w:t>
            </w:r>
          </w:p>
          <w:p w14:paraId="17D6CC6F" w14:textId="77777777" w:rsidR="00BB62F4" w:rsidRDefault="00BB62F4">
            <w:pPr>
              <w:rPr>
                <w:rFonts w:ascii="Quattrocento Sans" w:eastAsia="Quattrocento Sans" w:hAnsi="Quattrocento Sans" w:cs="Quattrocento Sans"/>
              </w:rPr>
            </w:pPr>
          </w:p>
        </w:tc>
      </w:tr>
      <w:tr w:rsidR="00BB62F4" w14:paraId="1F2E6EB6" w14:textId="77777777">
        <w:tc>
          <w:tcPr>
            <w:tcW w:w="1096" w:type="dxa"/>
            <w:shd w:val="clear" w:color="auto" w:fill="FFFFFF"/>
          </w:tcPr>
          <w:p w14:paraId="51546464" w14:textId="77777777" w:rsidR="00BB62F4" w:rsidRDefault="00000000">
            <w:pPr>
              <w:rPr>
                <w:b/>
                <w:bCs/>
              </w:rPr>
            </w:pPr>
            <w:r>
              <w:rPr>
                <w:i/>
                <w:iCs/>
              </w:rPr>
              <w:t>Availability of systematic disclosures</w:t>
            </w:r>
          </w:p>
        </w:tc>
        <w:tc>
          <w:tcPr>
            <w:tcW w:w="7966" w:type="dxa"/>
            <w:shd w:val="clear" w:color="auto" w:fill="FFFFFF"/>
          </w:tcPr>
          <w:p w14:paraId="2D9C39FA" w14:textId="77777777" w:rsidR="00BB62F4" w:rsidRDefault="00000000">
            <w:r>
              <w:rPr>
                <w:b/>
                <w:bCs/>
              </w:rPr>
              <w:t xml:space="preserve">Provide source(s) where the list of all active exploitation and exploration contracts </w:t>
            </w:r>
            <w:r>
              <w:rPr>
                <w:b/>
                <w:bCs/>
                <w:u w:val="single"/>
              </w:rPr>
              <w:t>and</w:t>
            </w:r>
            <w:r>
              <w:rPr>
                <w:b/>
                <w:bCs/>
              </w:rPr>
              <w:t xml:space="preserve"> licenses can be accessed:</w:t>
            </w:r>
            <w:r>
              <w:br/>
            </w:r>
            <w:r>
              <w:rPr>
                <w:color w:val="808080"/>
              </w:rPr>
              <w:t xml:space="preserve">Usually by the </w:t>
            </w:r>
            <w:hyperlink w:anchor="_heading=h.8taono3oz4al">
              <w:r>
                <w:rPr>
                  <w:color w:val="0000FF"/>
                  <w:u w:val="single"/>
                </w:rPr>
                <w:t>holder(s) of information</w:t>
              </w:r>
            </w:hyperlink>
          </w:p>
          <w:p w14:paraId="5D690A01" w14:textId="77777777" w:rsidR="00BB62F4" w:rsidRDefault="00000000">
            <w:pPr>
              <w:rPr>
                <w:i/>
                <w:iCs/>
              </w:rPr>
            </w:pPr>
            <w:r>
              <w:t xml:space="preserve"> </w:t>
            </w:r>
            <w:r>
              <w:rPr>
                <w:i/>
                <w:iCs/>
                <w:shd w:val="clear" w:color="auto" w:fill="D9E2F3"/>
              </w:rPr>
              <w:t xml:space="preserve">Source, website </w:t>
            </w:r>
            <w:r>
              <w:rPr>
                <w:i/>
                <w:iCs/>
              </w:rPr>
              <w:t xml:space="preserve"> </w:t>
            </w:r>
          </w:p>
          <w:p w14:paraId="21B1AE91" w14:textId="77777777" w:rsidR="00BB62F4" w:rsidRDefault="00000000">
            <w:pPr>
              <w:numPr>
                <w:ilvl w:val="0"/>
                <w:numId w:val="38"/>
              </w:numPr>
              <w:rPr>
                <w:rFonts w:ascii="EB Garamond" w:eastAsia="EB Garamond" w:hAnsi="EB Garamond" w:cs="EB Garamond"/>
                <w:color w:val="000000"/>
              </w:rPr>
            </w:pPr>
            <w:hyperlink r:id="rId136">
              <w:r>
                <w:rPr>
                  <w:rFonts w:ascii="EB Garamond" w:eastAsia="EB Garamond" w:hAnsi="EB Garamond" w:cs="EB Garamond"/>
                  <w:color w:val="1155CC"/>
                  <w:u w:val="single"/>
                </w:rPr>
                <w:t>Licences | NUPRC</w:t>
              </w:r>
            </w:hyperlink>
            <w:r>
              <w:rPr>
                <w:rFonts w:ascii="EB Garamond" w:eastAsia="EB Garamond" w:hAnsi="EB Garamond" w:cs="EB Garamond"/>
              </w:rPr>
              <w:t xml:space="preserve"> </w:t>
            </w:r>
          </w:p>
          <w:p w14:paraId="3882C139" w14:textId="77777777" w:rsidR="00BB62F4" w:rsidRDefault="00000000">
            <w:pPr>
              <w:numPr>
                <w:ilvl w:val="0"/>
                <w:numId w:val="38"/>
              </w:numPr>
              <w:rPr>
                <w:rFonts w:ascii="EB Garamond" w:eastAsia="EB Garamond" w:hAnsi="EB Garamond" w:cs="EB Garamond"/>
                <w:color w:val="000000"/>
              </w:rPr>
            </w:pPr>
            <w:hyperlink r:id="rId137">
              <w:r>
                <w:rPr>
                  <w:rFonts w:ascii="EB Garamond" w:eastAsia="EB Garamond" w:hAnsi="EB Garamond" w:cs="EB Garamond"/>
                  <w:color w:val="1155CC"/>
                  <w:u w:val="single"/>
                </w:rPr>
                <w:t>Conversion Contracts | NUPRC</w:t>
              </w:r>
            </w:hyperlink>
            <w:r>
              <w:rPr>
                <w:rFonts w:ascii="EB Garamond" w:eastAsia="EB Garamond" w:hAnsi="EB Garamond" w:cs="EB Garamond"/>
              </w:rPr>
              <w:t xml:space="preserve"> </w:t>
            </w:r>
          </w:p>
          <w:p w14:paraId="0B3B8BAA" w14:textId="77777777" w:rsidR="00BB62F4" w:rsidRDefault="00000000">
            <w:pPr>
              <w:numPr>
                <w:ilvl w:val="0"/>
                <w:numId w:val="38"/>
              </w:numPr>
              <w:rPr>
                <w:rFonts w:ascii="EB Garamond" w:eastAsia="EB Garamond" w:hAnsi="EB Garamond" w:cs="EB Garamond"/>
                <w:color w:val="000000"/>
              </w:rPr>
            </w:pPr>
            <w:hyperlink r:id="rId138">
              <w:r>
                <w:rPr>
                  <w:rFonts w:ascii="EB Garamond" w:eastAsia="EB Garamond" w:hAnsi="EB Garamond" w:cs="EB Garamond"/>
                  <w:color w:val="0000FF"/>
                  <w:u w:val="single"/>
                </w:rPr>
                <w:t>https://staging1977.nnpcgroup.com/documents/NNPC%20Limited%20Contract%20Transparency</w:t>
              </w:r>
            </w:hyperlink>
          </w:p>
          <w:p w14:paraId="0669B813" w14:textId="77777777" w:rsidR="00BB62F4" w:rsidRDefault="00000000">
            <w:pPr>
              <w:numPr>
                <w:ilvl w:val="0"/>
                <w:numId w:val="38"/>
              </w:numPr>
              <w:rPr>
                <w:rFonts w:ascii="EB Garamond" w:eastAsia="EB Garamond" w:hAnsi="EB Garamond" w:cs="EB Garamond"/>
                <w:color w:val="000000"/>
              </w:rPr>
            </w:pPr>
            <w:hyperlink r:id="rId139">
              <w:r>
                <w:rPr>
                  <w:rFonts w:ascii="EB Garamond" w:eastAsia="EB Garamond" w:hAnsi="EB Garamond" w:cs="EB Garamond"/>
                  <w:color w:val="0000FF"/>
                  <w:u w:val="single"/>
                </w:rPr>
                <w:t>https://www.resourcecontracts.org/search/group?q=&amp;company_name%5B%5D=Nigerian+National+Petroleum+Corporation</w:t>
              </w:r>
            </w:hyperlink>
          </w:p>
          <w:p w14:paraId="20C7770A" w14:textId="77777777" w:rsidR="00BB62F4" w:rsidRDefault="00BB62F4">
            <w:pPr>
              <w:rPr>
                <w:b/>
                <w:bCs/>
              </w:rPr>
            </w:pPr>
          </w:p>
        </w:tc>
      </w:tr>
      <w:tr w:rsidR="00BB62F4" w14:paraId="0A6E8C2E" w14:textId="77777777">
        <w:tc>
          <w:tcPr>
            <w:tcW w:w="1096" w:type="dxa"/>
            <w:shd w:val="clear" w:color="auto" w:fill="FFFFFF"/>
          </w:tcPr>
          <w:p w14:paraId="5359F8CF" w14:textId="77777777" w:rsidR="00BB62F4" w:rsidRDefault="00000000">
            <w:pPr>
              <w:rPr>
                <w:b/>
                <w:bCs/>
              </w:rPr>
            </w:pPr>
            <w:r>
              <w:rPr>
                <w:i/>
                <w:iCs/>
              </w:rPr>
              <w:lastRenderedPageBreak/>
              <w:t>Other sources</w:t>
            </w:r>
          </w:p>
        </w:tc>
        <w:tc>
          <w:tcPr>
            <w:tcW w:w="7966" w:type="dxa"/>
            <w:shd w:val="clear" w:color="auto" w:fill="FFFFFF"/>
          </w:tcPr>
          <w:p w14:paraId="3DAAFBFC" w14:textId="77777777" w:rsidR="00BB62F4" w:rsidRDefault="00000000">
            <w:r>
              <w:rPr>
                <w:b/>
                <w:bCs/>
              </w:rPr>
              <w:t xml:space="preserve">Provide other source(s) where information can be accessed: </w:t>
            </w:r>
            <w:r>
              <w:br/>
            </w:r>
            <w:r>
              <w:rPr>
                <w:color w:val="808080"/>
              </w:rPr>
              <w:t>Where this information is not systematically disclosed (see above) or complemented, this may be in an EITI Report, a study, an industry publication</w:t>
            </w:r>
          </w:p>
          <w:p w14:paraId="6391C3C4" w14:textId="77777777" w:rsidR="00BB62F4" w:rsidRDefault="00000000">
            <w:pPr>
              <w:rPr>
                <w:i/>
                <w:iCs/>
                <w:shd w:val="clear" w:color="auto" w:fill="D9E2F3"/>
              </w:rPr>
            </w:pPr>
            <w:r>
              <w:rPr>
                <w:i/>
                <w:iCs/>
                <w:shd w:val="clear" w:color="auto" w:fill="D9E2F3"/>
              </w:rPr>
              <w:t xml:space="preserve"> Source, section of EITI Report (page nr), EITI website</w:t>
            </w:r>
          </w:p>
          <w:p w14:paraId="6A103282" w14:textId="77777777" w:rsidR="00BB62F4" w:rsidRDefault="00000000">
            <w:pPr>
              <w:numPr>
                <w:ilvl w:val="0"/>
                <w:numId w:val="32"/>
              </w:numPr>
              <w:pBdr>
                <w:top w:val="nil"/>
                <w:left w:val="nil"/>
                <w:bottom w:val="nil"/>
                <w:right w:val="nil"/>
                <w:between w:val="nil"/>
              </w:pBdr>
              <w:rPr>
                <w:b/>
                <w:bCs/>
                <w:color w:val="000000"/>
              </w:rPr>
            </w:pPr>
            <w:hyperlink r:id="rId140">
              <w:r>
                <w:rPr>
                  <w:b/>
                  <w:bCs/>
                  <w:color w:val="0000FF"/>
                  <w:u w:val="single"/>
                </w:rPr>
                <w:t>NEITI 2023 OIL AND GAS INDUSTRY AUDIT</w:t>
              </w:r>
            </w:hyperlink>
            <w:r>
              <w:rPr>
                <w:b/>
                <w:bCs/>
                <w:color w:val="000000"/>
              </w:rPr>
              <w:t xml:space="preserve"> Chapter 2, page 28</w:t>
            </w:r>
          </w:p>
        </w:tc>
      </w:tr>
      <w:tr w:rsidR="00BB62F4" w14:paraId="16757745" w14:textId="77777777">
        <w:tc>
          <w:tcPr>
            <w:tcW w:w="1096" w:type="dxa"/>
            <w:shd w:val="clear" w:color="auto" w:fill="FFFFFF"/>
          </w:tcPr>
          <w:p w14:paraId="4E048A37" w14:textId="77777777" w:rsidR="00BB62F4" w:rsidRDefault="00000000">
            <w:pPr>
              <w:rPr>
                <w:b/>
                <w:bCs/>
              </w:rPr>
            </w:pPr>
            <w:r>
              <w:rPr>
                <w:i/>
                <w:iCs/>
              </w:rPr>
              <w:t>Assessment on comprehensiveness, reliability and timeliness of information</w:t>
            </w:r>
          </w:p>
        </w:tc>
        <w:tc>
          <w:tcPr>
            <w:tcW w:w="7966" w:type="dxa"/>
            <w:shd w:val="clear" w:color="auto" w:fill="FFFFFF"/>
          </w:tcPr>
          <w:p w14:paraId="1F374117" w14:textId="77777777" w:rsidR="00BB62F4" w:rsidRDefault="00000000">
            <w:pPr>
              <w:rPr>
                <w:b/>
                <w:bCs/>
              </w:rPr>
            </w:pPr>
            <w:r>
              <w:rPr>
                <w:b/>
                <w:bCs/>
              </w:rPr>
              <w:t xml:space="preserve">Do you or any stakeholders (including, but not limited to MSG members) have concerns regarding the completeness, reliability and timeliness of information on the list of all active production and exploration contracts? </w:t>
            </w:r>
          </w:p>
          <w:p w14:paraId="25C8D26B" w14:textId="77777777" w:rsidR="00BB62F4" w:rsidRDefault="00000000">
            <w:r>
              <w:rPr>
                <w:rFonts w:ascii="MS Gothic" w:eastAsia="MS Gothic" w:hAnsi="MS Gothic" w:cs="MS Gothic"/>
                <w:highlight w:val="white"/>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r>
              <w:t xml:space="preserve"> </w:t>
            </w:r>
          </w:p>
          <w:p w14:paraId="243D1C27" w14:textId="77777777" w:rsidR="00BB62F4" w:rsidRDefault="00000000">
            <w:pPr>
              <w:pBdr>
                <w:top w:val="nil"/>
                <w:left w:val="nil"/>
                <w:bottom w:val="nil"/>
                <w:right w:val="nil"/>
                <w:between w:val="nil"/>
              </w:pBdr>
              <w:shd w:val="clear" w:color="auto" w:fill="FFFFFF"/>
              <w:ind w:left="1051"/>
              <w:rPr>
                <w:rFonts w:ascii="Times New Roman" w:eastAsia="Times New Roman" w:hAnsi="Times New Roman" w:cs="Times New Roman"/>
                <w:i/>
                <w:iCs/>
                <w:color w:val="000000"/>
                <w:sz w:val="24"/>
                <w:szCs w:val="24"/>
                <w:shd w:val="clear" w:color="auto" w:fill="D9E2F3"/>
              </w:rPr>
            </w:pPr>
            <w:r>
              <w:rPr>
                <w:rFonts w:ascii="Times New Roman" w:eastAsia="Times New Roman" w:hAnsi="Times New Roman" w:cs="Times New Roman"/>
                <w:color w:val="000000"/>
                <w:sz w:val="24"/>
                <w:szCs w:val="24"/>
              </w:rPr>
              <w:t xml:space="preserve">If </w:t>
            </w:r>
            <w:r>
              <w:rPr>
                <w:rFonts w:ascii="Times New Roman" w:eastAsia="Times New Roman" w:hAnsi="Times New Roman" w:cs="Times New Roman"/>
                <w:color w:val="000000"/>
                <w:sz w:val="24"/>
                <w:szCs w:val="24"/>
                <w:u w:val="single"/>
              </w:rPr>
              <w:t>yes</w:t>
            </w:r>
            <w:r>
              <w:rPr>
                <w:rFonts w:ascii="Times New Roman" w:eastAsia="Times New Roman" w:hAnsi="Times New Roman" w:cs="Times New Roman"/>
                <w:color w:val="000000"/>
                <w:sz w:val="24"/>
                <w:szCs w:val="24"/>
              </w:rPr>
              <w:t>, please elaborate:</w:t>
            </w:r>
            <w:r>
              <w:rPr>
                <w:rFonts w:ascii="Times New Roman" w:eastAsia="Times New Roman" w:hAnsi="Times New Roman" w:cs="Times New Roman"/>
                <w:color w:val="000000"/>
                <w:sz w:val="24"/>
                <w:szCs w:val="24"/>
                <w:shd w:val="clear" w:color="auto" w:fill="D9E2F3"/>
              </w:rPr>
              <w:t xml:space="preserve"> </w:t>
            </w:r>
            <w:r>
              <w:rPr>
                <w:rFonts w:ascii="Times New Roman" w:eastAsia="Times New Roman" w:hAnsi="Times New Roman" w:cs="Times New Roman"/>
                <w:i/>
                <w:iCs/>
                <w:color w:val="000000"/>
                <w:sz w:val="24"/>
                <w:szCs w:val="24"/>
                <w:shd w:val="clear" w:color="auto" w:fill="D9E2F3"/>
              </w:rPr>
              <w:t xml:space="preserve">For example, the inventory list/ overview does not correspond to </w:t>
            </w:r>
          </w:p>
          <w:p w14:paraId="576DD05E" w14:textId="77777777" w:rsidR="00BB62F4" w:rsidRDefault="00000000">
            <w:pPr>
              <w:pBdr>
                <w:top w:val="nil"/>
                <w:left w:val="nil"/>
                <w:bottom w:val="nil"/>
                <w:right w:val="nil"/>
                <w:between w:val="nil"/>
              </w:pBdr>
              <w:shd w:val="clear" w:color="auto" w:fill="FFFFFF"/>
              <w:ind w:left="1051"/>
              <w:rPr>
                <w:rFonts w:ascii="Times New Roman" w:eastAsia="Times New Roman" w:hAnsi="Times New Roman" w:cs="Times New Roman"/>
                <w:color w:val="000000"/>
                <w:sz w:val="24"/>
                <w:szCs w:val="24"/>
              </w:rPr>
            </w:pPr>
            <w:hyperlink r:id="rId141">
              <w:r>
                <w:rPr>
                  <w:rFonts w:ascii="EB Garamond" w:eastAsia="EB Garamond" w:hAnsi="EB Garamond" w:cs="EB Garamond"/>
                  <w:color w:val="0000FF"/>
                  <w:u w:val="single"/>
                </w:rPr>
                <w:t>NEITI 2023 Oil and Gas Report</w:t>
              </w:r>
            </w:hyperlink>
            <w:r>
              <w:rPr>
                <w:rFonts w:ascii="EB Garamond" w:eastAsia="EB Garamond" w:hAnsi="EB Garamond" w:cs="EB Garamond"/>
                <w:color w:val="000000"/>
              </w:rPr>
              <w:t xml:space="preserve"> (Chapter 8 Table 84, S/No.2: Observations and Recommendations for 2022-2023 Extractive Reporting and Chapter 9, page 103) has identified procedural gaps and transparency issues regarding NUPRC’s licensing and contract disclosures. While not explicitly defining these as illegal breaches, the report highlighted weak implementation of Petroleum Industry Act (PIA) 2021 provisions and incomplete public disclosure of contracts</w:t>
            </w:r>
          </w:p>
          <w:p w14:paraId="2ADF9BF0" w14:textId="77777777" w:rsidR="00BB62F4" w:rsidRDefault="00000000">
            <w:pPr>
              <w:rPr>
                <w:i/>
                <w:iCs/>
                <w:shd w:val="clear" w:color="auto" w:fill="D9E2F3"/>
              </w:rPr>
            </w:pPr>
            <w:r>
              <w:rPr>
                <w:i/>
                <w:iCs/>
                <w:shd w:val="clear" w:color="auto" w:fill="D9E2F3"/>
              </w:rPr>
              <w:t>the license register. The list of contracts is incomplete – there are some missing.</w:t>
            </w:r>
          </w:p>
          <w:p w14:paraId="5F6E0E58" w14:textId="77777777" w:rsidR="00BB62F4" w:rsidRDefault="00000000">
            <w:pPr>
              <w:rPr>
                <w:shd w:val="clear" w:color="auto" w:fill="D9E2F3"/>
              </w:rPr>
            </w:pPr>
            <w:r>
              <w:rPr>
                <w:i/>
                <w:iCs/>
                <w:shd w:val="clear" w:color="auto" w:fill="D9E2F3"/>
              </w:rPr>
              <w:t xml:space="preserve"> </w:t>
            </w:r>
            <w:r>
              <w:rPr>
                <w:i/>
                <w:iCs/>
              </w:rPr>
              <w:t xml:space="preserve"> </w:t>
            </w:r>
            <w:r>
              <w:rPr>
                <w:b/>
                <w:bCs/>
              </w:rPr>
              <w:br/>
            </w:r>
          </w:p>
          <w:p w14:paraId="1C291CBD" w14:textId="77777777" w:rsidR="00BB62F4" w:rsidRDefault="00000000">
            <w:pPr>
              <w:rPr>
                <w:b/>
                <w:bCs/>
              </w:rPr>
            </w:pPr>
            <w:r>
              <w:t xml:space="preserve"> H</w:t>
            </w:r>
            <w:r>
              <w:rPr>
                <w:b/>
                <w:bCs/>
              </w:rPr>
              <w:t>ave those gaps been clearly identified, for example through EITI reporting?</w:t>
            </w:r>
          </w:p>
          <w:p w14:paraId="70403F2C"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 xml:space="preserve">No </w:t>
            </w:r>
          </w:p>
          <w:p w14:paraId="6BC463E2" w14:textId="77777777" w:rsidR="00BB62F4" w:rsidRDefault="00000000">
            <w:pPr>
              <w:shd w:val="clear" w:color="auto" w:fill="D9E2F3"/>
            </w:pPr>
            <w:r>
              <w:t>Explain:</w:t>
            </w:r>
          </w:p>
          <w:p w14:paraId="6838BA54" w14:textId="77777777" w:rsidR="00BB62F4" w:rsidRDefault="00000000">
            <w:pPr>
              <w:rPr>
                <w:b/>
                <w:bCs/>
              </w:rPr>
            </w:pPr>
            <w:r>
              <w:rPr>
                <w:b/>
                <w:bCs/>
              </w:rPr>
              <w:t>Are the gaps due to legal or practical barriers?</w:t>
            </w:r>
          </w:p>
          <w:p w14:paraId="635111A3"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381E9459" w14:textId="77777777" w:rsidR="00BB62F4" w:rsidRDefault="00000000">
            <w:r>
              <w:t xml:space="preserve">If </w:t>
            </w:r>
            <w:r>
              <w:rPr>
                <w:u w:val="single"/>
              </w:rPr>
              <w:t>yes</w:t>
            </w:r>
            <w:r>
              <w:t>, explain the barriers:</w:t>
            </w:r>
            <w:r>
              <w:rPr>
                <w:shd w:val="clear" w:color="auto" w:fill="D9E2F3"/>
              </w:rPr>
              <w:t xml:space="preserve"> </w:t>
            </w:r>
            <w:r>
              <w:rPr>
                <w:i/>
                <w:iCs/>
                <w:shd w:val="clear" w:color="auto" w:fill="D9E2F3"/>
              </w:rPr>
              <w:t>Barriers are…</w:t>
            </w:r>
          </w:p>
          <w:p w14:paraId="082DF706" w14:textId="77777777" w:rsidR="00BB62F4" w:rsidRDefault="00000000">
            <w:pPr>
              <w:rPr>
                <w:i/>
                <w:iCs/>
              </w:rPr>
            </w:pPr>
            <w:r>
              <w:t xml:space="preserve">If </w:t>
            </w:r>
            <w:r>
              <w:rPr>
                <w:u w:val="single"/>
              </w:rPr>
              <w:t>yes</w:t>
            </w:r>
            <w:r>
              <w:t>, explain what the plans are to overcome barriers to disclosure of all of the above information:</w:t>
            </w:r>
            <w:r>
              <w:rPr>
                <w:shd w:val="clear" w:color="auto" w:fill="D9E2F3"/>
              </w:rPr>
              <w:t xml:space="preserve"> </w:t>
            </w:r>
            <w:r>
              <w:rPr>
                <w:i/>
                <w:iCs/>
                <w:shd w:val="clear" w:color="auto" w:fill="D9E2F3"/>
              </w:rPr>
              <w:t>can include a reference to work plan activities, MSG meeting minutes etc</w:t>
            </w:r>
            <w:r>
              <w:rPr>
                <w:i/>
                <w:iCs/>
              </w:rPr>
              <w:t>.</w:t>
            </w:r>
          </w:p>
          <w:p w14:paraId="666A48BD" w14:textId="77777777" w:rsidR="00BB62F4" w:rsidRDefault="00000000">
            <w:pPr>
              <w:rPr>
                <w:b/>
                <w:bCs/>
              </w:rPr>
            </w:pPr>
            <w:r>
              <w:t>NUPRC to establish and make publicly available comprehensive register incorporating the following: Leases, licenses, permits and authorization issued, revoked, suspended, surrendered or withdrawn with any modification or exemptions granted, concession situation report is operational, however, the portal is being upgraded to a dynamic acreage management system (DAMS).</w:t>
            </w:r>
          </w:p>
        </w:tc>
      </w:tr>
      <w:tr w:rsidR="00BB62F4" w14:paraId="104D4030" w14:textId="77777777">
        <w:tc>
          <w:tcPr>
            <w:tcW w:w="1096" w:type="dxa"/>
            <w:shd w:val="clear" w:color="auto" w:fill="B4C6E7"/>
          </w:tcPr>
          <w:p w14:paraId="336D482A" w14:textId="77777777" w:rsidR="00BB62F4" w:rsidRDefault="00000000">
            <w:r>
              <w:rPr>
                <w:b/>
                <w:bCs/>
              </w:rPr>
              <w:t>Required</w:t>
            </w:r>
          </w:p>
        </w:tc>
        <w:tc>
          <w:tcPr>
            <w:tcW w:w="7966" w:type="dxa"/>
            <w:shd w:val="clear" w:color="auto" w:fill="B4C6E7"/>
          </w:tcPr>
          <w:p w14:paraId="027652A5" w14:textId="77777777" w:rsidR="00BB62F4" w:rsidRDefault="00000000">
            <w:r>
              <w:rPr>
                <w:b/>
                <w:bCs/>
              </w:rPr>
              <w:t>#2.</w:t>
            </w:r>
            <w:proofErr w:type="gramStart"/>
            <w:r>
              <w:rPr>
                <w:b/>
                <w:bCs/>
              </w:rPr>
              <w:t>4.a</w:t>
            </w:r>
            <w:proofErr w:type="gramEnd"/>
            <w:r>
              <w:rPr>
                <w:b/>
                <w:bCs/>
              </w:rPr>
              <w:t xml:space="preserve"> – Disclosure of all extractive contracts and licenses that are granted, entered into or amended from 1 January 2021</w:t>
            </w:r>
          </w:p>
        </w:tc>
      </w:tr>
      <w:tr w:rsidR="00BB62F4" w14:paraId="1653A61D" w14:textId="77777777">
        <w:tc>
          <w:tcPr>
            <w:tcW w:w="1096" w:type="dxa"/>
          </w:tcPr>
          <w:p w14:paraId="7EA42669" w14:textId="77777777" w:rsidR="00BB62F4" w:rsidRDefault="00000000">
            <w:pPr>
              <w:rPr>
                <w:i/>
                <w:iCs/>
              </w:rPr>
            </w:pPr>
            <w:r>
              <w:rPr>
                <w:i/>
                <w:iCs/>
              </w:rPr>
              <w:t>Availability</w:t>
            </w:r>
          </w:p>
        </w:tc>
        <w:tc>
          <w:tcPr>
            <w:tcW w:w="7966" w:type="dxa"/>
          </w:tcPr>
          <w:p w14:paraId="7A628B18" w14:textId="77777777" w:rsidR="00BB62F4" w:rsidRDefault="00000000">
            <w:pPr>
              <w:rPr>
                <w:b/>
                <w:bCs/>
              </w:rPr>
            </w:pPr>
            <w:r>
              <w:rPr>
                <w:b/>
                <w:bCs/>
              </w:rPr>
              <w:t xml:space="preserve">Are all </w:t>
            </w:r>
            <w:r>
              <w:rPr>
                <w:b/>
                <w:bCs/>
                <w:u w:val="single"/>
              </w:rPr>
              <w:t>contracts</w:t>
            </w:r>
            <w:r>
              <w:rPr>
                <w:b/>
                <w:bCs/>
              </w:rPr>
              <w:t xml:space="preserve">, including their annexes, riders and annexes, that are </w:t>
            </w:r>
            <w:r>
              <w:rPr>
                <w:b/>
                <w:bCs/>
                <w:u w:val="single"/>
              </w:rPr>
              <w:t>granted or entered into</w:t>
            </w:r>
            <w:r>
              <w:rPr>
                <w:b/>
                <w:bCs/>
              </w:rPr>
              <w:t xml:space="preserve"> from 1 January 2021 publicly disclosed</w:t>
            </w:r>
            <w:r>
              <w:rPr>
                <w:b/>
                <w:bCs/>
                <w:vertAlign w:val="superscript"/>
              </w:rPr>
              <w:footnoteReference w:id="6"/>
            </w:r>
            <w:r>
              <w:rPr>
                <w:b/>
                <w:bCs/>
              </w:rPr>
              <w:t xml:space="preserve">? </w:t>
            </w:r>
          </w:p>
          <w:p w14:paraId="317F08C9" w14:textId="77777777" w:rsidR="00BB62F4" w:rsidRDefault="00000000">
            <w:pPr>
              <w:pBdr>
                <w:top w:val="nil"/>
                <w:left w:val="nil"/>
                <w:bottom w:val="nil"/>
                <w:right w:val="nil"/>
                <w:between w:val="nil"/>
              </w:pBdr>
              <w:ind w:left="360"/>
              <w:rPr>
                <w:color w:val="000000"/>
              </w:rPr>
            </w:pPr>
            <w:r>
              <w:rPr>
                <w:color w:val="000000"/>
              </w:rPr>
              <w:lastRenderedPageBreak/>
              <w:t xml:space="preserve"> </w:t>
            </w:r>
            <w:sdt>
              <w:sdtPr>
                <w:tag w:val="goog_rdk_20"/>
                <w:id w:val="-1923207784"/>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Yes</w:t>
            </w:r>
            <w:r>
              <w:rPr>
                <w:color w:val="000000"/>
              </w:rPr>
              <w:t xml:space="preserve">     </w:t>
            </w:r>
            <w:sdt>
              <w:sdtPr>
                <w:tag w:val="goog_rdk_21"/>
                <w:id w:val="-885224594"/>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 xml:space="preserve">No  </w:t>
            </w: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Partially</w:t>
            </w:r>
          </w:p>
          <w:p w14:paraId="7180E49A" w14:textId="77777777" w:rsidR="00BB62F4" w:rsidRDefault="00BB62F4">
            <w:pPr>
              <w:pBdr>
                <w:top w:val="nil"/>
                <w:left w:val="nil"/>
                <w:bottom w:val="nil"/>
                <w:right w:val="nil"/>
                <w:between w:val="nil"/>
              </w:pBdr>
              <w:shd w:val="clear" w:color="auto" w:fill="FFFFFF"/>
              <w:ind w:left="360"/>
              <w:rPr>
                <w:b/>
                <w:bCs/>
                <w:i/>
                <w:iCs/>
                <w:color w:val="000000"/>
              </w:rPr>
            </w:pPr>
          </w:p>
          <w:p w14:paraId="78CEE320"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the published contracts (source):</w:t>
            </w:r>
          </w:p>
          <w:p w14:paraId="33EC3424" w14:textId="77777777" w:rsidR="00BB62F4" w:rsidRDefault="00000000">
            <w:pPr>
              <w:pBdr>
                <w:top w:val="nil"/>
                <w:left w:val="nil"/>
                <w:bottom w:val="nil"/>
                <w:right w:val="nil"/>
                <w:between w:val="nil"/>
              </w:pBdr>
              <w:shd w:val="clear" w:color="auto" w:fill="FFFFFF"/>
              <w:ind w:left="360"/>
              <w:rPr>
                <w:color w:val="000000"/>
                <w:shd w:val="clear" w:color="auto" w:fill="D9E2F3"/>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r>
              <w:rPr>
                <w:color w:val="000000"/>
                <w:shd w:val="clear" w:color="auto" w:fill="D9E2F3"/>
              </w:rPr>
              <w:t>, (government)</w:t>
            </w:r>
          </w:p>
          <w:p w14:paraId="07992A1D" w14:textId="77777777" w:rsidR="00BB62F4" w:rsidRDefault="00000000">
            <w:pPr>
              <w:numPr>
                <w:ilvl w:val="0"/>
                <w:numId w:val="39"/>
              </w:numPr>
              <w:rPr>
                <w:rFonts w:ascii="EB Garamond" w:eastAsia="EB Garamond" w:hAnsi="EB Garamond" w:cs="EB Garamond"/>
                <w:color w:val="000000"/>
              </w:rPr>
            </w:pPr>
            <w:hyperlink r:id="rId142">
              <w:r>
                <w:rPr>
                  <w:rFonts w:ascii="EB Garamond" w:eastAsia="EB Garamond" w:hAnsi="EB Garamond" w:cs="EB Garamond"/>
                  <w:color w:val="1155CC"/>
                  <w:u w:val="single"/>
                </w:rPr>
                <w:t>Licences | NUPRC</w:t>
              </w:r>
            </w:hyperlink>
            <w:r>
              <w:rPr>
                <w:rFonts w:ascii="EB Garamond" w:eastAsia="EB Garamond" w:hAnsi="EB Garamond" w:cs="EB Garamond"/>
              </w:rPr>
              <w:t xml:space="preserve"> </w:t>
            </w:r>
          </w:p>
          <w:p w14:paraId="19F156A1" w14:textId="77777777" w:rsidR="00BB62F4" w:rsidRDefault="00000000">
            <w:pPr>
              <w:numPr>
                <w:ilvl w:val="0"/>
                <w:numId w:val="39"/>
              </w:numPr>
              <w:shd w:val="clear" w:color="auto" w:fill="FFFFFF"/>
              <w:spacing w:before="0" w:after="0"/>
              <w:rPr>
                <w:rFonts w:ascii="EB Garamond" w:eastAsia="EB Garamond" w:hAnsi="EB Garamond" w:cs="EB Garamond"/>
                <w:color w:val="4A86E8"/>
              </w:rPr>
            </w:pPr>
            <w:hyperlink r:id="rId143">
              <w:r>
                <w:rPr>
                  <w:rFonts w:ascii="EB Garamond" w:eastAsia="EB Garamond" w:hAnsi="EB Garamond" w:cs="EB Garamond"/>
                  <w:color w:val="4A86E8"/>
                  <w:u w:val="single"/>
                </w:rPr>
                <w:t>https://www.nuprc.gov.ng/concession/</w:t>
              </w:r>
            </w:hyperlink>
          </w:p>
          <w:p w14:paraId="5A952BE3" w14:textId="77777777" w:rsidR="00BB62F4" w:rsidRDefault="00000000">
            <w:pPr>
              <w:numPr>
                <w:ilvl w:val="0"/>
                <w:numId w:val="39"/>
              </w:numPr>
              <w:shd w:val="clear" w:color="auto" w:fill="FFFFFF"/>
              <w:spacing w:before="0"/>
              <w:rPr>
                <w:rFonts w:ascii="EB Garamond" w:eastAsia="EB Garamond" w:hAnsi="EB Garamond" w:cs="EB Garamond"/>
                <w:color w:val="000000"/>
              </w:rPr>
            </w:pPr>
            <w:hyperlink r:id="rId144">
              <w:r>
                <w:rPr>
                  <w:rFonts w:ascii="EB Garamond" w:eastAsia="EB Garamond" w:hAnsi="EB Garamond" w:cs="EB Garamond"/>
                  <w:color w:val="0000FF"/>
                  <w:u w:val="single"/>
                </w:rPr>
                <w:t>https://staging1977.nnpcgroup.com/documents/NNPC%20Limited%20Contract%20Transparency</w:t>
              </w:r>
            </w:hyperlink>
          </w:p>
          <w:p w14:paraId="27C195A8" w14:textId="77777777" w:rsidR="00BB62F4" w:rsidRDefault="00BB62F4">
            <w:pPr>
              <w:pBdr>
                <w:top w:val="nil"/>
                <w:left w:val="nil"/>
                <w:bottom w:val="nil"/>
                <w:right w:val="nil"/>
                <w:between w:val="nil"/>
              </w:pBdr>
              <w:shd w:val="clear" w:color="auto" w:fill="FFFFFF"/>
              <w:ind w:left="360"/>
              <w:rPr>
                <w:color w:val="000000"/>
              </w:rPr>
            </w:pPr>
          </w:p>
          <w:p w14:paraId="489720FA" w14:textId="77777777" w:rsidR="00BB62F4" w:rsidRDefault="00000000">
            <w:pPr>
              <w:pBdr>
                <w:top w:val="nil"/>
                <w:left w:val="nil"/>
                <w:bottom w:val="nil"/>
                <w:right w:val="nil"/>
                <w:between w:val="nil"/>
              </w:pBdr>
              <w:shd w:val="clear" w:color="auto" w:fill="FFFFFF"/>
              <w:ind w:left="360"/>
              <w:rPr>
                <w:color w:val="000000"/>
              </w:rPr>
            </w:pPr>
            <w:r>
              <w:rPr>
                <w:color w:val="000000"/>
              </w:rPr>
              <w:t>AND / OR</w:t>
            </w:r>
          </w:p>
          <w:p w14:paraId="68D8F394" w14:textId="77777777" w:rsidR="00BB62F4" w:rsidRDefault="00000000">
            <w:pPr>
              <w:ind w:left="343"/>
            </w:pPr>
            <w:r>
              <w:t xml:space="preserve">Other sources: </w:t>
            </w:r>
            <w:r>
              <w:rPr>
                <w:shd w:val="clear" w:color="auto" w:fill="D9E2F3"/>
              </w:rPr>
              <w:t xml:space="preserve">EITI Report (year and page number), EITI website or repository on </w:t>
            </w:r>
            <w:proofErr w:type="spellStart"/>
            <w:r>
              <w:rPr>
                <w:shd w:val="clear" w:color="auto" w:fill="D9E2F3"/>
              </w:rPr>
              <w:t>lincenses</w:t>
            </w:r>
            <w:proofErr w:type="spellEnd"/>
            <w:r>
              <w:rPr>
                <w:shd w:val="clear" w:color="auto" w:fill="D9E2F3"/>
              </w:rPr>
              <w:t xml:space="preserve"> etc</w:t>
            </w:r>
          </w:p>
          <w:p w14:paraId="66057005" w14:textId="77777777" w:rsidR="00BB62F4" w:rsidRDefault="00BB62F4">
            <w:pPr>
              <w:rPr>
                <w:b/>
                <w:bCs/>
              </w:rPr>
            </w:pPr>
          </w:p>
          <w:p w14:paraId="79A7684C" w14:textId="77777777" w:rsidR="00BB62F4" w:rsidRDefault="00000000">
            <w:pPr>
              <w:rPr>
                <w:b/>
                <w:bCs/>
              </w:rPr>
            </w:pPr>
            <w:r>
              <w:rPr>
                <w:b/>
                <w:bCs/>
              </w:rPr>
              <w:t xml:space="preserve">Are all </w:t>
            </w:r>
            <w:r>
              <w:rPr>
                <w:b/>
                <w:bCs/>
                <w:u w:val="single"/>
              </w:rPr>
              <w:t>licenses</w:t>
            </w:r>
            <w:r>
              <w:rPr>
                <w:b/>
                <w:bCs/>
              </w:rPr>
              <w:t>, including their annexes, riders and annexes that are granted or entered into from 1 January 2021 publicly disclosed</w:t>
            </w:r>
            <w:r>
              <w:rPr>
                <w:b/>
                <w:bCs/>
                <w:vertAlign w:val="superscript"/>
              </w:rPr>
              <w:footnoteReference w:id="7"/>
            </w:r>
            <w:r>
              <w:rPr>
                <w:b/>
                <w:bCs/>
              </w:rPr>
              <w:t xml:space="preserve">? </w:t>
            </w:r>
          </w:p>
          <w:p w14:paraId="26592ED0" w14:textId="77777777" w:rsidR="00BB62F4" w:rsidRDefault="00000000">
            <w:pPr>
              <w:pBdr>
                <w:top w:val="nil"/>
                <w:left w:val="nil"/>
                <w:bottom w:val="nil"/>
                <w:right w:val="nil"/>
                <w:between w:val="nil"/>
              </w:pBdr>
              <w:ind w:left="360"/>
              <w:rPr>
                <w:color w:val="000000"/>
                <w:shd w:val="clear" w:color="auto" w:fill="D9E2F3"/>
              </w:rPr>
            </w:pPr>
            <w:sdt>
              <w:sdtPr>
                <w:tag w:val="goog_rdk_22"/>
                <w:id w:val="1080355293"/>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Yes</w:t>
            </w:r>
            <w:r>
              <w:rPr>
                <w:color w:val="000000"/>
              </w:rPr>
              <w:t xml:space="preserve">     </w:t>
            </w:r>
            <w:sdt>
              <w:sdtPr>
                <w:tag w:val="goog_rdk_23"/>
                <w:id w:val="766450055"/>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 xml:space="preserve">No  </w:t>
            </w: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Partially</w:t>
            </w:r>
          </w:p>
          <w:p w14:paraId="46659723" w14:textId="77777777" w:rsidR="00BB62F4" w:rsidRDefault="00BB62F4">
            <w:pPr>
              <w:pBdr>
                <w:top w:val="nil"/>
                <w:left w:val="nil"/>
                <w:bottom w:val="nil"/>
                <w:right w:val="nil"/>
                <w:between w:val="nil"/>
              </w:pBdr>
              <w:ind w:left="720"/>
              <w:rPr>
                <w:color w:val="000000"/>
              </w:rPr>
            </w:pPr>
          </w:p>
          <w:p w14:paraId="4263EEAF"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the published licenses (source):</w:t>
            </w:r>
          </w:p>
          <w:p w14:paraId="0EC888AB" w14:textId="77777777" w:rsidR="00BB62F4" w:rsidRDefault="00000000">
            <w:pPr>
              <w:pBdr>
                <w:top w:val="nil"/>
                <w:left w:val="nil"/>
                <w:bottom w:val="nil"/>
                <w:right w:val="nil"/>
                <w:between w:val="nil"/>
              </w:pBdr>
              <w:shd w:val="clear" w:color="auto" w:fill="FFFFFF"/>
              <w:ind w:left="360"/>
              <w:rPr>
                <w:color w:val="000000"/>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r>
              <w:rPr>
                <w:color w:val="000000"/>
                <w:shd w:val="clear" w:color="auto" w:fill="D9E2F3"/>
              </w:rPr>
              <w:t xml:space="preserve">, or by the official journal </w:t>
            </w:r>
          </w:p>
          <w:p w14:paraId="3E2FBA79" w14:textId="77777777" w:rsidR="00BB62F4" w:rsidRDefault="00000000">
            <w:pPr>
              <w:pBdr>
                <w:top w:val="nil"/>
                <w:left w:val="nil"/>
                <w:bottom w:val="nil"/>
                <w:right w:val="nil"/>
                <w:between w:val="nil"/>
              </w:pBdr>
              <w:shd w:val="clear" w:color="auto" w:fill="FFFFFF"/>
              <w:ind w:left="360"/>
              <w:rPr>
                <w:color w:val="000000"/>
              </w:rPr>
            </w:pPr>
            <w:r>
              <w:rPr>
                <w:color w:val="000000"/>
              </w:rPr>
              <w:t>AND / OR</w:t>
            </w:r>
          </w:p>
          <w:p w14:paraId="48119032" w14:textId="77777777" w:rsidR="00BB62F4" w:rsidRDefault="00000000">
            <w:pPr>
              <w:numPr>
                <w:ilvl w:val="0"/>
                <w:numId w:val="40"/>
              </w:numPr>
              <w:rPr>
                <w:rFonts w:ascii="EB Garamond" w:eastAsia="EB Garamond" w:hAnsi="EB Garamond" w:cs="EB Garamond"/>
              </w:rPr>
            </w:pPr>
            <w:hyperlink r:id="rId145">
              <w:r>
                <w:rPr>
                  <w:rFonts w:ascii="EB Garamond" w:eastAsia="EB Garamond" w:hAnsi="EB Garamond" w:cs="EB Garamond"/>
                  <w:color w:val="1155CC"/>
                  <w:u w:val="single"/>
                </w:rPr>
                <w:t>Licences | NUPRC</w:t>
              </w:r>
            </w:hyperlink>
            <w:r>
              <w:rPr>
                <w:rFonts w:ascii="EB Garamond" w:eastAsia="EB Garamond" w:hAnsi="EB Garamond" w:cs="EB Garamond"/>
              </w:rPr>
              <w:t xml:space="preserve"> </w:t>
            </w:r>
          </w:p>
          <w:p w14:paraId="64D598A4" w14:textId="77777777" w:rsidR="00BB62F4" w:rsidRDefault="00000000">
            <w:pPr>
              <w:numPr>
                <w:ilvl w:val="0"/>
                <w:numId w:val="40"/>
              </w:numPr>
              <w:shd w:val="clear" w:color="auto" w:fill="FFFFFF"/>
              <w:spacing w:before="0" w:after="0"/>
              <w:rPr>
                <w:rFonts w:ascii="EB Garamond" w:eastAsia="EB Garamond" w:hAnsi="EB Garamond" w:cs="EB Garamond"/>
              </w:rPr>
            </w:pPr>
            <w:hyperlink r:id="rId146">
              <w:r>
                <w:rPr>
                  <w:rFonts w:ascii="EB Garamond" w:eastAsia="EB Garamond" w:hAnsi="EB Garamond" w:cs="EB Garamond"/>
                  <w:color w:val="4A86E8"/>
                  <w:u w:val="single"/>
                </w:rPr>
                <w:t>https://www.nuprc.gov.ng/concession/</w:t>
              </w:r>
            </w:hyperlink>
          </w:p>
          <w:p w14:paraId="714DBA8B" w14:textId="77777777" w:rsidR="00BB62F4" w:rsidRDefault="00000000">
            <w:pPr>
              <w:numPr>
                <w:ilvl w:val="0"/>
                <w:numId w:val="40"/>
              </w:numPr>
              <w:shd w:val="clear" w:color="auto" w:fill="FFFFFF"/>
              <w:spacing w:before="0"/>
              <w:rPr>
                <w:rFonts w:ascii="EB Garamond" w:eastAsia="EB Garamond" w:hAnsi="EB Garamond" w:cs="EB Garamond"/>
              </w:rPr>
            </w:pPr>
            <w:hyperlink r:id="rId147">
              <w:r>
                <w:rPr>
                  <w:rFonts w:ascii="EB Garamond" w:eastAsia="EB Garamond" w:hAnsi="EB Garamond" w:cs="EB Garamond"/>
                  <w:color w:val="0000FF"/>
                  <w:u w:val="single"/>
                </w:rPr>
                <w:t>https://staging1977.nnpcgroup.com/documents/NNPC%20Limited%20Contract%20Transparency</w:t>
              </w:r>
            </w:hyperlink>
          </w:p>
          <w:p w14:paraId="4DFA6713" w14:textId="77777777" w:rsidR="00BB62F4" w:rsidRDefault="00BB62F4">
            <w:pPr>
              <w:pBdr>
                <w:top w:val="nil"/>
                <w:left w:val="nil"/>
                <w:bottom w:val="nil"/>
                <w:right w:val="nil"/>
                <w:between w:val="nil"/>
              </w:pBdr>
              <w:shd w:val="clear" w:color="auto" w:fill="FFFFFF"/>
              <w:ind w:left="360"/>
              <w:rPr>
                <w:color w:val="000000"/>
              </w:rPr>
            </w:pPr>
          </w:p>
          <w:p w14:paraId="1A51120E" w14:textId="77777777" w:rsidR="00BB62F4" w:rsidRDefault="00000000">
            <w:pPr>
              <w:ind w:left="343"/>
            </w:pPr>
            <w:r>
              <w:t xml:space="preserve">Other sources: </w:t>
            </w:r>
            <w:r>
              <w:rPr>
                <w:shd w:val="clear" w:color="auto" w:fill="D9E2F3"/>
              </w:rPr>
              <w:t>EITI Report (year and page number), EITI website or repository on licenses etc</w:t>
            </w:r>
          </w:p>
          <w:p w14:paraId="332E67DF" w14:textId="77777777" w:rsidR="00BB62F4" w:rsidRDefault="00BB62F4">
            <w:pPr>
              <w:ind w:left="343"/>
            </w:pPr>
          </w:p>
        </w:tc>
      </w:tr>
      <w:tr w:rsidR="00BB62F4" w14:paraId="33CCEDD8" w14:textId="77777777">
        <w:tc>
          <w:tcPr>
            <w:tcW w:w="1096" w:type="dxa"/>
          </w:tcPr>
          <w:p w14:paraId="221860AF" w14:textId="77777777" w:rsidR="00BB62F4" w:rsidRDefault="00000000">
            <w:pPr>
              <w:rPr>
                <w:i/>
                <w:iCs/>
              </w:rPr>
            </w:pPr>
            <w:r>
              <w:rPr>
                <w:i/>
                <w:iCs/>
              </w:rPr>
              <w:lastRenderedPageBreak/>
              <w:t>Availability</w:t>
            </w:r>
          </w:p>
        </w:tc>
        <w:tc>
          <w:tcPr>
            <w:tcW w:w="7966" w:type="dxa"/>
          </w:tcPr>
          <w:p w14:paraId="1C41CB41" w14:textId="77777777" w:rsidR="00BB62F4" w:rsidRDefault="00000000">
            <w:pPr>
              <w:rPr>
                <w:b/>
                <w:bCs/>
              </w:rPr>
            </w:pPr>
            <w:r>
              <w:rPr>
                <w:b/>
                <w:bCs/>
              </w:rPr>
              <w:t xml:space="preserve">Are all existing contracts that were </w:t>
            </w:r>
            <w:r>
              <w:rPr>
                <w:b/>
                <w:bCs/>
                <w:u w:val="single"/>
              </w:rPr>
              <w:t>amended since</w:t>
            </w:r>
            <w:r>
              <w:rPr>
                <w:b/>
                <w:bCs/>
              </w:rPr>
              <w:t xml:space="preserve"> 1 January 2021 publicly disclosed? </w:t>
            </w:r>
          </w:p>
          <w:p w14:paraId="231F4080" w14:textId="77777777" w:rsidR="00BB62F4" w:rsidRDefault="00000000">
            <w:pPr>
              <w:pBdr>
                <w:top w:val="nil"/>
                <w:left w:val="nil"/>
                <w:bottom w:val="nil"/>
                <w:right w:val="nil"/>
                <w:between w:val="nil"/>
              </w:pBdr>
              <w:ind w:left="360"/>
              <w:rPr>
                <w:color w:val="000000"/>
              </w:rPr>
            </w:pPr>
            <w:r>
              <w:rPr>
                <w:color w:val="000000"/>
              </w:rPr>
              <w:t xml:space="preserve"> </w:t>
            </w:r>
            <w:sdt>
              <w:sdtPr>
                <w:tag w:val="goog_rdk_24"/>
                <w:id w:val="80802689"/>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Yes</w:t>
            </w:r>
            <w:r>
              <w:rPr>
                <w:color w:val="000000"/>
              </w:rPr>
              <w:t xml:space="preserve">     </w:t>
            </w:r>
            <w:sdt>
              <w:sdtPr>
                <w:tag w:val="goog_rdk_25"/>
                <w:id w:val="-4001406"/>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 xml:space="preserve">No  </w:t>
            </w:r>
            <w:r>
              <w:rPr>
                <w:color w:val="000000"/>
              </w:rPr>
              <w:t xml:space="preserve"> </w:t>
            </w:r>
            <w:r>
              <w:rPr>
                <w:rFonts w:ascii="MS Gothic" w:eastAsia="MS Gothic" w:hAnsi="MS Gothic" w:cs="MS Gothic"/>
                <w:color w:val="000000"/>
              </w:rPr>
              <w:t>☒</w:t>
            </w:r>
            <w:r>
              <w:rPr>
                <w:color w:val="000000"/>
              </w:rPr>
              <w:t xml:space="preserve"> </w:t>
            </w:r>
            <w:r>
              <w:rPr>
                <w:color w:val="000000"/>
                <w:shd w:val="clear" w:color="auto" w:fill="D9E2F3"/>
              </w:rPr>
              <w:t xml:space="preserve">Partially  </w:t>
            </w:r>
            <w:sdt>
              <w:sdtPr>
                <w:tag w:val="goog_rdk_26"/>
                <w:id w:val="1769302471"/>
              </w:sdtPr>
              <w:sdtContent>
                <w:r>
                  <w:rPr>
                    <w:rFonts w:ascii="Arial Unicode MS" w:eastAsia="Arial Unicode MS" w:hAnsi="Arial Unicode MS" w:cs="Arial Unicode MS"/>
                    <w:color w:val="000000"/>
                  </w:rPr>
                  <w:t xml:space="preserve">☐ </w:t>
                </w:r>
              </w:sdtContent>
            </w:sdt>
            <w:r>
              <w:rPr>
                <w:color w:val="000000"/>
                <w:shd w:val="clear" w:color="auto" w:fill="D9E2F3"/>
              </w:rPr>
              <w:t>Not applicable</w:t>
            </w:r>
            <w:r>
              <w:rPr>
                <w:color w:val="000000"/>
                <w:shd w:val="clear" w:color="auto" w:fill="D9E2F3"/>
                <w:vertAlign w:val="superscript"/>
              </w:rPr>
              <w:footnoteReference w:id="8"/>
            </w:r>
          </w:p>
          <w:p w14:paraId="00FA37B6" w14:textId="77777777" w:rsidR="00BB62F4" w:rsidRDefault="00000000">
            <w:r>
              <w:t xml:space="preserve">If </w:t>
            </w:r>
            <w:r>
              <w:rPr>
                <w:u w:val="single"/>
              </w:rPr>
              <w:t>yes or partially,</w:t>
            </w:r>
            <w:r>
              <w:t xml:space="preserve"> are they available in the same place as the other contracts (see section above)? </w:t>
            </w:r>
            <w:r>
              <w:rPr>
                <w:rFonts w:ascii="MS Gothic" w:eastAsia="MS Gothic" w:hAnsi="MS Gothic" w:cs="MS Gothic"/>
              </w:rPr>
              <w:t>☒</w:t>
            </w:r>
            <w:r>
              <w:t xml:space="preserve"> </w:t>
            </w:r>
            <w:r>
              <w:rPr>
                <w:shd w:val="clear" w:color="auto" w:fill="D9E2F3"/>
              </w:rPr>
              <w:t>Yes</w:t>
            </w:r>
            <w:r>
              <w:t xml:space="preserve">     </w:t>
            </w:r>
            <w:sdt>
              <w:sdtPr>
                <w:tag w:val="goog_rdk_27"/>
                <w:id w:val="1207502376"/>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1A37DFFE" w14:textId="77777777" w:rsidR="00BB62F4" w:rsidRDefault="00000000">
            <w:pPr>
              <w:rPr>
                <w:b/>
                <w:bCs/>
              </w:rPr>
            </w:pPr>
            <w:r>
              <w:rPr>
                <w:b/>
                <w:bCs/>
              </w:rPr>
              <w:t xml:space="preserve">Are all existing </w:t>
            </w:r>
            <w:r>
              <w:rPr>
                <w:b/>
                <w:bCs/>
                <w:u w:val="single"/>
              </w:rPr>
              <w:t>licenses</w:t>
            </w:r>
            <w:r>
              <w:rPr>
                <w:b/>
                <w:bCs/>
              </w:rPr>
              <w:t xml:space="preserve"> that were </w:t>
            </w:r>
            <w:r>
              <w:rPr>
                <w:b/>
                <w:bCs/>
                <w:u w:val="single"/>
              </w:rPr>
              <w:t>amended since</w:t>
            </w:r>
            <w:r>
              <w:rPr>
                <w:b/>
                <w:bCs/>
              </w:rPr>
              <w:t xml:space="preserve"> 1 January 2021 publicly disclosed? </w:t>
            </w:r>
          </w:p>
          <w:p w14:paraId="6C98C074"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sdt>
              <w:sdtPr>
                <w:tag w:val="goog_rdk_28"/>
                <w:id w:val="452252902"/>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r>
              <w:rPr>
                <w:rFonts w:ascii="MS Gothic" w:eastAsia="MS Gothic" w:hAnsi="MS Gothic" w:cs="MS Gothic"/>
              </w:rPr>
              <w:t>☒</w:t>
            </w:r>
            <w:r>
              <w:rPr>
                <w:shd w:val="clear" w:color="auto" w:fill="D9E2F3"/>
              </w:rPr>
              <w:t xml:space="preserve">Partially </w:t>
            </w:r>
            <w:sdt>
              <w:sdtPr>
                <w:tag w:val="goog_rdk_29"/>
                <w:id w:val="-1526769115"/>
              </w:sdtPr>
              <w:sdtContent>
                <w:r>
                  <w:rPr>
                    <w:rFonts w:ascii="Arial Unicode MS" w:eastAsia="Arial Unicode MS" w:hAnsi="Arial Unicode MS" w:cs="Arial Unicode MS"/>
                  </w:rPr>
                  <w:t>☐</w:t>
                </w:r>
              </w:sdtContent>
            </w:sdt>
            <w:r>
              <w:rPr>
                <w:shd w:val="clear" w:color="auto" w:fill="D9E2F3"/>
              </w:rPr>
              <w:t>Not applicable</w:t>
            </w:r>
            <w:r>
              <w:rPr>
                <w:shd w:val="clear" w:color="auto" w:fill="D9E2F3"/>
                <w:vertAlign w:val="superscript"/>
              </w:rPr>
              <w:footnoteReference w:id="9"/>
            </w:r>
          </w:p>
          <w:p w14:paraId="3B1C1BCA" w14:textId="77777777" w:rsidR="00BB62F4" w:rsidRDefault="00BB62F4">
            <w:pPr>
              <w:rPr>
                <w:shd w:val="clear" w:color="auto" w:fill="D9E2F3"/>
              </w:rPr>
            </w:pPr>
          </w:p>
          <w:p w14:paraId="4062D6FF" w14:textId="77777777" w:rsidR="00BB62F4" w:rsidRDefault="00000000">
            <w:r>
              <w:t xml:space="preserve">If </w:t>
            </w:r>
            <w:r>
              <w:rPr>
                <w:u w:val="single"/>
              </w:rPr>
              <w:t>yes or partially,</w:t>
            </w:r>
            <w:r>
              <w:t xml:space="preserve"> are they available in the same place as the other licenses (see section above)? </w:t>
            </w:r>
            <w:r>
              <w:rPr>
                <w:rFonts w:ascii="MS Gothic" w:eastAsia="MS Gothic" w:hAnsi="MS Gothic" w:cs="MS Gothic"/>
              </w:rPr>
              <w:t>☒</w:t>
            </w:r>
            <w:r>
              <w:t xml:space="preserve"> </w:t>
            </w:r>
            <w:r>
              <w:rPr>
                <w:shd w:val="clear" w:color="auto" w:fill="D9E2F3"/>
              </w:rPr>
              <w:t>Yes</w:t>
            </w:r>
            <w:r>
              <w:t xml:space="preserve">     </w:t>
            </w:r>
            <w:sdt>
              <w:sdtPr>
                <w:tag w:val="goog_rdk_30"/>
                <w:id w:val="-2084053072"/>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2ADEBA79" w14:textId="77777777" w:rsidR="00BB62F4" w:rsidRDefault="00BB62F4"/>
          <w:p w14:paraId="3DA47286" w14:textId="77777777" w:rsidR="00BB62F4" w:rsidRDefault="00000000">
            <w:r>
              <w:t xml:space="preserve">Does the disclosure include both the amended provision </w:t>
            </w:r>
            <w:r>
              <w:rPr>
                <w:u w:val="single"/>
              </w:rPr>
              <w:t>and</w:t>
            </w:r>
            <w:r>
              <w:t xml:space="preserve"> the entire amended license? </w:t>
            </w:r>
          </w:p>
          <w:p w14:paraId="68CA4BDB"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t xml:space="preserve"> </w:t>
            </w:r>
            <w:r>
              <w:rPr>
                <w:shd w:val="clear" w:color="auto" w:fill="D9E2F3"/>
              </w:rPr>
              <w:t xml:space="preserve">No  </w:t>
            </w:r>
            <w:r>
              <w:t xml:space="preserve"> </w:t>
            </w:r>
          </w:p>
        </w:tc>
      </w:tr>
      <w:tr w:rsidR="00BB62F4" w14:paraId="55721528" w14:textId="77777777">
        <w:tc>
          <w:tcPr>
            <w:tcW w:w="1096" w:type="dxa"/>
          </w:tcPr>
          <w:p w14:paraId="57CD56C7" w14:textId="77777777" w:rsidR="00BB62F4" w:rsidRDefault="00000000">
            <w:pPr>
              <w:rPr>
                <w:i/>
                <w:iCs/>
              </w:rPr>
            </w:pPr>
            <w:r>
              <w:rPr>
                <w:i/>
                <w:iCs/>
              </w:rPr>
              <w:t>Assessment on comprehensiveness, reliability and timeliness of information</w:t>
            </w:r>
          </w:p>
        </w:tc>
        <w:tc>
          <w:tcPr>
            <w:tcW w:w="7966" w:type="dxa"/>
          </w:tcPr>
          <w:p w14:paraId="7B86EBED" w14:textId="77777777" w:rsidR="00BB62F4" w:rsidRDefault="00000000">
            <w:pPr>
              <w:rPr>
                <w:b/>
                <w:bCs/>
              </w:rPr>
            </w:pPr>
            <w:r>
              <w:rPr>
                <w:b/>
                <w:bCs/>
              </w:rPr>
              <w:t xml:space="preserve">Do you or any stakeholders (including, but not limited to MSG members) consider that the disclosure </w:t>
            </w:r>
            <w:proofErr w:type="gramStart"/>
            <w:r>
              <w:rPr>
                <w:b/>
                <w:bCs/>
              </w:rPr>
              <w:t>of  on</w:t>
            </w:r>
            <w:proofErr w:type="gramEnd"/>
            <w:r>
              <w:rPr>
                <w:b/>
                <w:bCs/>
              </w:rPr>
              <w:t xml:space="preserve"> the following is </w:t>
            </w:r>
            <w:r>
              <w:rPr>
                <w:b/>
                <w:bCs/>
                <w:u w:val="single"/>
              </w:rPr>
              <w:t>incomplete, unreliable or outdated</w:t>
            </w:r>
            <w:r>
              <w:rPr>
                <w:b/>
                <w:bCs/>
              </w:rPr>
              <w:t>?</w:t>
            </w:r>
            <w:r>
              <w:rPr>
                <w:vertAlign w:val="superscript"/>
              </w:rPr>
              <w:t xml:space="preserve"> </w:t>
            </w:r>
            <w:r>
              <w:rPr>
                <w:vertAlign w:val="superscript"/>
              </w:rPr>
              <w:footnoteReference w:id="10"/>
            </w:r>
            <w:r>
              <w:rPr>
                <w:b/>
                <w:bCs/>
              </w:rPr>
              <w:t xml:space="preserve"> </w:t>
            </w:r>
          </w:p>
          <w:p w14:paraId="0215E8EC" w14:textId="77777777" w:rsidR="00BB62F4" w:rsidRDefault="00000000">
            <w:pPr>
              <w:numPr>
                <w:ilvl w:val="1"/>
                <w:numId w:val="8"/>
              </w:numPr>
              <w:pBdr>
                <w:top w:val="nil"/>
                <w:left w:val="nil"/>
                <w:bottom w:val="nil"/>
                <w:right w:val="nil"/>
                <w:between w:val="nil"/>
              </w:pBdr>
              <w:shd w:val="clear" w:color="auto" w:fill="FFFFFF"/>
              <w:ind w:left="732" w:hanging="284"/>
              <w:rPr>
                <w:color w:val="000000"/>
              </w:rPr>
            </w:pPr>
            <w:r>
              <w:rPr>
                <w:color w:val="000000"/>
              </w:rPr>
              <w:t xml:space="preserve"> </w:t>
            </w:r>
            <w:r>
              <w:rPr>
                <w:color w:val="000000"/>
                <w:u w:val="single"/>
              </w:rPr>
              <w:t>Contracts and/or or licenses</w:t>
            </w:r>
            <w:r>
              <w:rPr>
                <w:color w:val="000000"/>
              </w:rPr>
              <w:t xml:space="preserve"> granted from 1 January 2021</w:t>
            </w:r>
            <w:r>
              <w:rPr>
                <w:color w:val="000000"/>
                <w:highlight w:val="white"/>
              </w:rPr>
              <w:br/>
            </w:r>
            <w:r>
              <w:rPr>
                <w:rFonts w:ascii="MS Gothic" w:eastAsia="MS Gothic" w:hAnsi="MS Gothic" w:cs="MS Gothic"/>
                <w:color w:val="000000"/>
                <w:highlight w:val="white"/>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 xml:space="preserve">☐ </w:t>
            </w:r>
            <w:r>
              <w:rPr>
                <w:color w:val="000000"/>
                <w:shd w:val="clear" w:color="auto" w:fill="D9E2F3"/>
              </w:rPr>
              <w:t>No</w:t>
            </w:r>
          </w:p>
          <w:p w14:paraId="1D956919" w14:textId="77777777" w:rsidR="00BB62F4" w:rsidRDefault="00000000">
            <w:pPr>
              <w:shd w:val="clear" w:color="auto" w:fill="FFFFFF"/>
              <w:ind w:left="448"/>
              <w:rPr>
                <w:i/>
                <w:iCs/>
                <w:shd w:val="clear" w:color="auto" w:fill="D9E2F3"/>
              </w:rPr>
            </w:pPr>
            <w:r>
              <w:t xml:space="preserve">If </w:t>
            </w:r>
            <w:r>
              <w:rPr>
                <w:u w:val="single"/>
              </w:rPr>
              <w:t>yes</w:t>
            </w:r>
            <w:r>
              <w:t>, please elaborate</w:t>
            </w:r>
            <w:r>
              <w:rPr>
                <w:i/>
                <w:iCs/>
              </w:rPr>
              <w:t xml:space="preserve">: </w:t>
            </w:r>
            <w:r>
              <w:rPr>
                <w:i/>
                <w:iCs/>
                <w:shd w:val="clear" w:color="auto" w:fill="D9E2F3"/>
              </w:rPr>
              <w:t>for example: The overview lists the link to the contract but since the website was updated the documents are no longer available</w:t>
            </w:r>
          </w:p>
          <w:p w14:paraId="07EDA2E1" w14:textId="77777777" w:rsidR="00BB62F4" w:rsidRDefault="00000000">
            <w:pPr>
              <w:numPr>
                <w:ilvl w:val="0"/>
                <w:numId w:val="41"/>
              </w:numPr>
              <w:shd w:val="clear" w:color="auto" w:fill="FFFFFF"/>
              <w:spacing w:after="0"/>
              <w:ind w:left="808"/>
              <w:rPr>
                <w:rFonts w:ascii="EB Garamond" w:eastAsia="EB Garamond" w:hAnsi="EB Garamond" w:cs="EB Garamond"/>
                <w:color w:val="000000"/>
              </w:rPr>
            </w:pPr>
            <w:hyperlink r:id="rId148">
              <w:r>
                <w:rPr>
                  <w:rFonts w:ascii="EB Garamond" w:eastAsia="EB Garamond" w:hAnsi="EB Garamond" w:cs="EB Garamond"/>
                  <w:color w:val="1155CC"/>
                  <w:u w:val="single"/>
                </w:rPr>
                <w:t>Conversion Contracts | NUPRC</w:t>
              </w:r>
            </w:hyperlink>
            <w:r>
              <w:rPr>
                <w:rFonts w:ascii="EB Garamond" w:eastAsia="EB Garamond" w:hAnsi="EB Garamond" w:cs="EB Garamond"/>
              </w:rPr>
              <w:t xml:space="preserve"> </w:t>
            </w:r>
          </w:p>
          <w:p w14:paraId="428E3E19" w14:textId="77777777" w:rsidR="00BB62F4" w:rsidRDefault="00000000">
            <w:pPr>
              <w:numPr>
                <w:ilvl w:val="0"/>
                <w:numId w:val="41"/>
              </w:numPr>
              <w:shd w:val="clear" w:color="auto" w:fill="FFFFFF"/>
              <w:spacing w:before="0"/>
              <w:ind w:left="808"/>
              <w:rPr>
                <w:rFonts w:ascii="EB Garamond" w:eastAsia="EB Garamond" w:hAnsi="EB Garamond" w:cs="EB Garamond"/>
                <w:color w:val="000000"/>
              </w:rPr>
            </w:pPr>
            <w:hyperlink r:id="rId149">
              <w:r>
                <w:rPr>
                  <w:rFonts w:ascii="EB Garamond" w:eastAsia="EB Garamond" w:hAnsi="EB Garamond" w:cs="EB Garamond"/>
                  <w:color w:val="1155CC"/>
                  <w:u w:val="single"/>
                </w:rPr>
                <w:t>Licences | NUPRC</w:t>
              </w:r>
            </w:hyperlink>
            <w:r>
              <w:rPr>
                <w:rFonts w:ascii="EB Garamond" w:eastAsia="EB Garamond" w:hAnsi="EB Garamond" w:cs="EB Garamond"/>
              </w:rPr>
              <w:t xml:space="preserve"> </w:t>
            </w:r>
          </w:p>
          <w:p w14:paraId="65F10CF0" w14:textId="77777777" w:rsidR="00BB62F4" w:rsidRDefault="00BB62F4">
            <w:pPr>
              <w:shd w:val="clear" w:color="auto" w:fill="FFFFFF"/>
              <w:ind w:left="448"/>
            </w:pPr>
          </w:p>
          <w:p w14:paraId="6B8A3471" w14:textId="77777777" w:rsidR="00BB62F4" w:rsidRDefault="00000000">
            <w:pPr>
              <w:numPr>
                <w:ilvl w:val="1"/>
                <w:numId w:val="8"/>
              </w:numPr>
              <w:pBdr>
                <w:top w:val="nil"/>
                <w:left w:val="nil"/>
                <w:bottom w:val="nil"/>
                <w:right w:val="nil"/>
                <w:between w:val="nil"/>
              </w:pBdr>
              <w:shd w:val="clear" w:color="auto" w:fill="FFFFFF"/>
              <w:ind w:left="770" w:hanging="284"/>
              <w:rPr>
                <w:color w:val="000000"/>
              </w:rPr>
            </w:pPr>
            <w:r>
              <w:rPr>
                <w:color w:val="000000"/>
              </w:rPr>
              <w:t xml:space="preserve">Annexes, riders and addendum of contracts and/or </w:t>
            </w:r>
            <w:r>
              <w:rPr>
                <w:color w:val="000000"/>
                <w:u w:val="single"/>
              </w:rPr>
              <w:t>licenses</w:t>
            </w:r>
            <w:r>
              <w:rPr>
                <w:color w:val="000000"/>
              </w:rPr>
              <w:t xml:space="preserve"> granted, entered from 1 January 2021:</w:t>
            </w:r>
            <w:r>
              <w:rPr>
                <w:i/>
                <w:iCs/>
                <w:color w:val="000000"/>
              </w:rPr>
              <w:t xml:space="preserve"> </w:t>
            </w:r>
            <w:r>
              <w:rPr>
                <w:i/>
                <w:iCs/>
                <w:color w:val="000000"/>
              </w:rPr>
              <w:br/>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sdt>
              <w:sdtPr>
                <w:tag w:val="goog_rdk_31"/>
                <w:id w:val="2066251102"/>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No</w:t>
            </w:r>
          </w:p>
          <w:p w14:paraId="300ACA6A" w14:textId="77777777" w:rsidR="00BB62F4" w:rsidRDefault="00000000">
            <w:pPr>
              <w:pBdr>
                <w:top w:val="nil"/>
                <w:left w:val="nil"/>
                <w:bottom w:val="nil"/>
                <w:right w:val="nil"/>
                <w:between w:val="nil"/>
              </w:pBdr>
              <w:shd w:val="clear" w:color="auto" w:fill="FFFFFF"/>
              <w:ind w:left="732"/>
              <w:rPr>
                <w:color w:val="000000"/>
                <w:shd w:val="clear" w:color="auto" w:fill="D9E2F3"/>
              </w:rPr>
            </w:pPr>
            <w:r>
              <w:rPr>
                <w:color w:val="000000"/>
              </w:rPr>
              <w:t xml:space="preserve">If </w:t>
            </w:r>
            <w:r>
              <w:rPr>
                <w:color w:val="000000"/>
                <w:u w:val="single"/>
              </w:rPr>
              <w:t>yes</w:t>
            </w:r>
            <w:r>
              <w:rPr>
                <w:color w:val="000000"/>
              </w:rPr>
              <w:t>, please elaborate</w:t>
            </w:r>
            <w:r>
              <w:rPr>
                <w:color w:val="000000"/>
                <w:shd w:val="clear" w:color="auto" w:fill="D9E2F3"/>
              </w:rPr>
              <w:t>: …</w:t>
            </w:r>
          </w:p>
          <w:p w14:paraId="2904059F" w14:textId="77777777" w:rsidR="00BB62F4" w:rsidRDefault="00000000">
            <w:pPr>
              <w:shd w:val="clear" w:color="auto" w:fill="FFFFFF"/>
              <w:ind w:left="732"/>
              <w:rPr>
                <w:rFonts w:ascii="Times New Roman" w:eastAsia="Times New Roman" w:hAnsi="Times New Roman" w:cs="Times New Roman"/>
                <w:sz w:val="24"/>
                <w:szCs w:val="24"/>
              </w:rPr>
            </w:pPr>
            <w:r>
              <w:rPr>
                <w:rFonts w:ascii="EB Garamond" w:eastAsia="EB Garamond" w:hAnsi="EB Garamond" w:cs="EB Garamond"/>
                <w:color w:val="000000"/>
                <w:shd w:val="clear" w:color="auto" w:fill="D9E2F3"/>
              </w:rPr>
              <w:t>There are annexes and model contracts associated with oil and gas licenses and leases granted by NUPRC since the enactment of the Petroleum Industry Act (PIA) 2021. Recent license granted in 2022 and 2023 typically include the following annexures as part of the legal document;</w:t>
            </w:r>
          </w:p>
          <w:p w14:paraId="1A5878AF" w14:textId="77777777" w:rsidR="00BB62F4" w:rsidRDefault="00000000">
            <w:pPr>
              <w:numPr>
                <w:ilvl w:val="0"/>
                <w:numId w:val="43"/>
              </w:numPr>
              <w:shd w:val="clear" w:color="auto" w:fill="FFFFFF"/>
              <w:spacing w:after="0"/>
              <w:ind w:left="1452"/>
              <w:rPr>
                <w:rFonts w:ascii="EB Garamond" w:eastAsia="EB Garamond" w:hAnsi="EB Garamond" w:cs="EB Garamond"/>
                <w:color w:val="000000"/>
              </w:rPr>
            </w:pPr>
            <w:r>
              <w:rPr>
                <w:rFonts w:ascii="EB Garamond" w:eastAsia="EB Garamond" w:hAnsi="EB Garamond" w:cs="EB Garamond"/>
                <w:color w:val="000000"/>
              </w:rPr>
              <w:t>Schedule A: General Licence and Lease Conditions.</w:t>
            </w:r>
          </w:p>
          <w:p w14:paraId="4F1A95D5" w14:textId="77777777" w:rsidR="00BB62F4" w:rsidRDefault="00000000">
            <w:pPr>
              <w:numPr>
                <w:ilvl w:val="0"/>
                <w:numId w:val="43"/>
              </w:numPr>
              <w:shd w:val="clear" w:color="auto" w:fill="FFFFFF"/>
              <w:spacing w:before="0" w:after="0"/>
              <w:ind w:left="1452"/>
              <w:rPr>
                <w:rFonts w:ascii="EB Garamond" w:eastAsia="EB Garamond" w:hAnsi="EB Garamond" w:cs="EB Garamond"/>
                <w:color w:val="000000"/>
              </w:rPr>
            </w:pPr>
            <w:r>
              <w:rPr>
                <w:rFonts w:ascii="EB Garamond" w:eastAsia="EB Garamond" w:hAnsi="EB Garamond" w:cs="EB Garamond"/>
                <w:color w:val="000000"/>
              </w:rPr>
              <w:t>Schedule B: Detailed Description of the Licence or Lease Area.</w:t>
            </w:r>
          </w:p>
          <w:p w14:paraId="49F2F86D" w14:textId="77777777" w:rsidR="00BB62F4" w:rsidRDefault="00000000">
            <w:pPr>
              <w:numPr>
                <w:ilvl w:val="0"/>
                <w:numId w:val="43"/>
              </w:numPr>
              <w:shd w:val="clear" w:color="auto" w:fill="FFFFFF"/>
              <w:spacing w:before="0" w:after="0"/>
              <w:ind w:left="1452"/>
              <w:rPr>
                <w:rFonts w:ascii="EB Garamond" w:eastAsia="EB Garamond" w:hAnsi="EB Garamond" w:cs="EB Garamond"/>
                <w:color w:val="000000"/>
              </w:rPr>
            </w:pPr>
            <w:r>
              <w:rPr>
                <w:rFonts w:ascii="EB Garamond" w:eastAsia="EB Garamond" w:hAnsi="EB Garamond" w:cs="EB Garamond"/>
                <w:color w:val="000000"/>
              </w:rPr>
              <w:t>Annexures 1 (Model Contract): The Concession Contract or Production Sharing Contract that governs the fiscal obligation between government and the licensee.</w:t>
            </w:r>
          </w:p>
          <w:p w14:paraId="09314498" w14:textId="77777777" w:rsidR="00BB62F4" w:rsidRDefault="00000000">
            <w:pPr>
              <w:numPr>
                <w:ilvl w:val="0"/>
                <w:numId w:val="43"/>
              </w:numPr>
              <w:shd w:val="clear" w:color="auto" w:fill="FFFFFF"/>
              <w:spacing w:before="0" w:after="0"/>
              <w:ind w:left="1452"/>
              <w:rPr>
                <w:rFonts w:ascii="EB Garamond" w:eastAsia="EB Garamond" w:hAnsi="EB Garamond" w:cs="EB Garamond"/>
                <w:color w:val="000000"/>
              </w:rPr>
            </w:pPr>
            <w:r>
              <w:rPr>
                <w:rFonts w:ascii="EB Garamond" w:eastAsia="EB Garamond" w:hAnsi="EB Garamond" w:cs="EB Garamond"/>
                <w:color w:val="000000"/>
              </w:rPr>
              <w:t>Annexures 2: The approved Field Development Plan (FDP) or Work Program.</w:t>
            </w:r>
          </w:p>
          <w:p w14:paraId="42212A46" w14:textId="77777777" w:rsidR="00BB62F4" w:rsidRDefault="00000000">
            <w:pPr>
              <w:numPr>
                <w:ilvl w:val="0"/>
                <w:numId w:val="43"/>
              </w:numPr>
              <w:shd w:val="clear" w:color="auto" w:fill="FFFFFF"/>
              <w:spacing w:before="0"/>
              <w:ind w:left="1452"/>
              <w:rPr>
                <w:rFonts w:ascii="EB Garamond" w:eastAsia="EB Garamond" w:hAnsi="EB Garamond" w:cs="EB Garamond"/>
                <w:color w:val="000000"/>
              </w:rPr>
            </w:pPr>
            <w:r>
              <w:rPr>
                <w:rFonts w:ascii="EB Garamond" w:eastAsia="EB Garamond" w:hAnsi="EB Garamond" w:cs="EB Garamond"/>
                <w:color w:val="000000"/>
              </w:rPr>
              <w:lastRenderedPageBreak/>
              <w:t>Annexures 3: Work Programme (WP) Performance Security.</w:t>
            </w:r>
          </w:p>
          <w:p w14:paraId="0D5F9BF8" w14:textId="77777777" w:rsidR="00BB62F4" w:rsidRDefault="00BB62F4">
            <w:pPr>
              <w:pBdr>
                <w:top w:val="nil"/>
                <w:left w:val="nil"/>
                <w:bottom w:val="nil"/>
                <w:right w:val="nil"/>
                <w:between w:val="nil"/>
              </w:pBdr>
              <w:shd w:val="clear" w:color="auto" w:fill="FFFFFF"/>
              <w:ind w:left="732"/>
              <w:rPr>
                <w:color w:val="000000"/>
              </w:rPr>
            </w:pPr>
          </w:p>
          <w:p w14:paraId="27EF3916" w14:textId="77777777" w:rsidR="00BB62F4" w:rsidRDefault="00BB62F4">
            <w:pPr>
              <w:pBdr>
                <w:top w:val="nil"/>
                <w:left w:val="nil"/>
                <w:bottom w:val="nil"/>
                <w:right w:val="nil"/>
                <w:between w:val="nil"/>
              </w:pBdr>
              <w:shd w:val="clear" w:color="auto" w:fill="FFFFFF"/>
              <w:ind w:left="770"/>
              <w:rPr>
                <w:color w:val="000000"/>
              </w:rPr>
            </w:pPr>
          </w:p>
          <w:p w14:paraId="1F6DB91E" w14:textId="77777777" w:rsidR="00BB62F4" w:rsidRDefault="00000000">
            <w:pPr>
              <w:numPr>
                <w:ilvl w:val="1"/>
                <w:numId w:val="8"/>
              </w:numPr>
              <w:pBdr>
                <w:top w:val="nil"/>
                <w:left w:val="nil"/>
                <w:bottom w:val="nil"/>
                <w:right w:val="nil"/>
                <w:between w:val="nil"/>
              </w:pBdr>
              <w:shd w:val="clear" w:color="auto" w:fill="FFFFFF"/>
              <w:ind w:left="770" w:hanging="284"/>
              <w:rPr>
                <w:color w:val="000000"/>
              </w:rPr>
            </w:pPr>
            <w:r>
              <w:rPr>
                <w:color w:val="000000"/>
                <w:u w:val="single"/>
              </w:rPr>
              <w:t>Licenses and/or contracts</w:t>
            </w:r>
            <w:r>
              <w:rPr>
                <w:color w:val="000000"/>
              </w:rPr>
              <w:t xml:space="preserve"> amended from 1 January 2021</w:t>
            </w:r>
          </w:p>
          <w:p w14:paraId="4F63693F" w14:textId="77777777" w:rsidR="00BB62F4" w:rsidRDefault="00000000">
            <w:pPr>
              <w:shd w:val="clear" w:color="auto" w:fill="FFFFFF"/>
              <w:ind w:left="486"/>
            </w:pPr>
            <w:r>
              <w:rPr>
                <w:rFonts w:ascii="MS Gothic" w:eastAsia="MS Gothic" w:hAnsi="MS Gothic" w:cs="MS Gothic"/>
              </w:rPr>
              <w:t>☒</w:t>
            </w:r>
            <w:r>
              <w:t xml:space="preserve"> </w:t>
            </w:r>
            <w:r>
              <w:rPr>
                <w:shd w:val="clear" w:color="auto" w:fill="D9E2F3"/>
              </w:rPr>
              <w:t>Yes</w:t>
            </w:r>
            <w:r>
              <w:t xml:space="preserve">   </w:t>
            </w:r>
            <w:sdt>
              <w:sdtPr>
                <w:tag w:val="goog_rdk_32"/>
                <w:id w:val="1889436965"/>
              </w:sdtPr>
              <w:sdtContent>
                <w:r>
                  <w:rPr>
                    <w:rFonts w:ascii="Arial Unicode MS" w:eastAsia="Arial Unicode MS" w:hAnsi="Arial Unicode MS" w:cs="Arial Unicode MS"/>
                  </w:rPr>
                  <w:t>☐</w:t>
                </w:r>
              </w:sdtContent>
            </w:sdt>
            <w:r>
              <w:t xml:space="preserve"> </w:t>
            </w:r>
            <w:r>
              <w:rPr>
                <w:shd w:val="clear" w:color="auto" w:fill="D9E2F3"/>
              </w:rPr>
              <w:t>No</w:t>
            </w:r>
          </w:p>
          <w:p w14:paraId="33C97C51" w14:textId="77777777" w:rsidR="00BB62F4" w:rsidRDefault="00000000">
            <w:pPr>
              <w:shd w:val="clear" w:color="auto" w:fill="FFFFFF"/>
              <w:ind w:left="732"/>
              <w:rPr>
                <w:shd w:val="clear" w:color="auto" w:fill="D9E2F3"/>
              </w:rPr>
            </w:pPr>
            <w:r>
              <w:t xml:space="preserve">If </w:t>
            </w:r>
            <w:r>
              <w:rPr>
                <w:u w:val="single"/>
              </w:rPr>
              <w:t>yes</w:t>
            </w:r>
            <w:r>
              <w:t>, please elaborate</w:t>
            </w:r>
            <w:r>
              <w:rPr>
                <w:shd w:val="clear" w:color="auto" w:fill="D9E2F3"/>
              </w:rPr>
              <w:t>: …</w:t>
            </w:r>
          </w:p>
          <w:p w14:paraId="53B2EE84" w14:textId="77777777" w:rsidR="00BB62F4" w:rsidRDefault="00000000">
            <w:pPr>
              <w:shd w:val="clear" w:color="auto" w:fill="FFFFFF"/>
              <w:ind w:left="732"/>
              <w:jc w:val="both"/>
            </w:pPr>
            <w:r>
              <w:rPr>
                <w:rFonts w:ascii="EB Garamond Medium" w:eastAsia="EB Garamond Medium" w:hAnsi="EB Garamond Medium" w:cs="EB Garamond Medium"/>
                <w:shd w:val="clear" w:color="auto" w:fill="D9E2F3"/>
              </w:rPr>
              <w:t xml:space="preserve">Since January 2021, </w:t>
            </w:r>
            <w:proofErr w:type="gramStart"/>
            <w:r>
              <w:rPr>
                <w:rFonts w:ascii="EB Garamond Medium" w:eastAsia="EB Garamond Medium" w:hAnsi="EB Garamond Medium" w:cs="EB Garamond Medium"/>
                <w:shd w:val="clear" w:color="auto" w:fill="D9E2F3"/>
              </w:rPr>
              <w:t>The</w:t>
            </w:r>
            <w:proofErr w:type="gramEnd"/>
            <w:r>
              <w:rPr>
                <w:rFonts w:ascii="EB Garamond Medium" w:eastAsia="EB Garamond Medium" w:hAnsi="EB Garamond Medium" w:cs="EB Garamond Medium"/>
                <w:shd w:val="clear" w:color="auto" w:fill="D9E2F3"/>
              </w:rPr>
              <w:t xml:space="preserve"> “Commission” NUPRC has undertaken significant amendments to the oil and gas licenses and contracts, primarily driven by the enactment of the Petroleum Industry Act (PIA) 2021.The main changes involves the conversion of old licenses OPL into Petroleum Prospecting Licenses (PPL) and the OML to Petroleum Mining Leases (PML), the introduction of new licensing rounds, and tighter regulatory control over contracts</w:t>
            </w:r>
          </w:p>
          <w:p w14:paraId="1275158C" w14:textId="77777777" w:rsidR="00BB62F4" w:rsidRDefault="00BB62F4">
            <w:pPr>
              <w:rPr>
                <w:u w:val="single"/>
              </w:rPr>
            </w:pPr>
          </w:p>
          <w:p w14:paraId="30C85C4D" w14:textId="77777777" w:rsidR="00BB62F4" w:rsidRDefault="00000000">
            <w:pPr>
              <w:rPr>
                <w:b/>
                <w:bCs/>
              </w:rPr>
            </w:pPr>
            <w:r>
              <w:t xml:space="preserve"> </w:t>
            </w:r>
            <w:r>
              <w:rPr>
                <w:b/>
                <w:bCs/>
              </w:rPr>
              <w:t>Have those gaps been clearly identified, for example through EITI reporting?</w:t>
            </w:r>
          </w:p>
          <w:p w14:paraId="1189B18B"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 xml:space="preserve">No </w:t>
            </w:r>
          </w:p>
          <w:p w14:paraId="6A6CE47B" w14:textId="77777777" w:rsidR="00BB62F4" w:rsidRDefault="00000000">
            <w:pPr>
              <w:shd w:val="clear" w:color="auto" w:fill="D9E2F3"/>
            </w:pPr>
            <w:r>
              <w:t>Explain:</w:t>
            </w:r>
          </w:p>
          <w:p w14:paraId="6E862B5B" w14:textId="77777777" w:rsidR="00BB62F4" w:rsidRDefault="00000000">
            <w:pPr>
              <w:rPr>
                <w:b/>
                <w:bCs/>
              </w:rPr>
            </w:pPr>
            <w:r>
              <w:rPr>
                <w:b/>
                <w:bCs/>
              </w:rPr>
              <w:t>Are the gaps in disclosures due to legal or practical barriers?</w:t>
            </w:r>
          </w:p>
          <w:p w14:paraId="2C3A38BF"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509FC66F" w14:textId="77777777" w:rsidR="00BB62F4" w:rsidRDefault="00000000">
            <w:pPr>
              <w:rPr>
                <w:i/>
                <w:iCs/>
              </w:rPr>
            </w:pPr>
            <w:r>
              <w:t xml:space="preserve">If </w:t>
            </w:r>
            <w:r>
              <w:rPr>
                <w:u w:val="single"/>
              </w:rPr>
              <w:t>yes</w:t>
            </w:r>
            <w:r>
              <w:t>, explain the barriers</w:t>
            </w:r>
            <w:r>
              <w:rPr>
                <w:shd w:val="clear" w:color="auto" w:fill="D9E2F3"/>
              </w:rPr>
              <w:t xml:space="preserve">: </w:t>
            </w:r>
            <w:r>
              <w:rPr>
                <w:i/>
                <w:iCs/>
                <w:shd w:val="clear" w:color="auto" w:fill="D9E2F3"/>
              </w:rPr>
              <w:t>Barriers are…</w:t>
            </w:r>
          </w:p>
          <w:p w14:paraId="1C8C825E" w14:textId="77777777" w:rsidR="00BB62F4" w:rsidRDefault="00000000">
            <w:pPr>
              <w:rPr>
                <w:i/>
                <w:iCs/>
              </w:rPr>
            </w:pPr>
            <w:r>
              <w:t xml:space="preserve">Explain the plans to overcome barriers to disclosure of all of the above information: </w:t>
            </w:r>
            <w:r>
              <w:rPr>
                <w:i/>
                <w:iCs/>
                <w:shd w:val="clear" w:color="auto" w:fill="D9E2F3"/>
              </w:rPr>
              <w:t>can include a reference to work plan activities, MSG meeting minutes etc.</w:t>
            </w:r>
          </w:p>
        </w:tc>
      </w:tr>
      <w:tr w:rsidR="00BB62F4" w14:paraId="14DD9D2D" w14:textId="77777777">
        <w:tc>
          <w:tcPr>
            <w:tcW w:w="1096" w:type="dxa"/>
            <w:shd w:val="clear" w:color="auto" w:fill="B4C6E7"/>
          </w:tcPr>
          <w:p w14:paraId="14A2848A" w14:textId="77777777" w:rsidR="00BB62F4" w:rsidRDefault="00000000">
            <w:pPr>
              <w:rPr>
                <w:b/>
                <w:bCs/>
              </w:rPr>
            </w:pPr>
            <w:r>
              <w:rPr>
                <w:b/>
                <w:bCs/>
              </w:rPr>
              <w:lastRenderedPageBreak/>
              <w:t>Encouraged</w:t>
            </w:r>
          </w:p>
        </w:tc>
        <w:tc>
          <w:tcPr>
            <w:tcW w:w="7966" w:type="dxa"/>
            <w:shd w:val="clear" w:color="auto" w:fill="B4C6E7"/>
          </w:tcPr>
          <w:p w14:paraId="39C34FEA" w14:textId="77777777" w:rsidR="00BB62F4" w:rsidRDefault="00000000">
            <w:pPr>
              <w:rPr>
                <w:b/>
                <w:bCs/>
              </w:rPr>
            </w:pPr>
            <w:r>
              <w:rPr>
                <w:b/>
                <w:bCs/>
              </w:rPr>
              <w:t>#2.</w:t>
            </w:r>
            <w:proofErr w:type="gramStart"/>
            <w:r>
              <w:rPr>
                <w:b/>
                <w:bCs/>
              </w:rPr>
              <w:t>4.a</w:t>
            </w:r>
            <w:proofErr w:type="gramEnd"/>
            <w:r>
              <w:rPr>
                <w:b/>
                <w:bCs/>
              </w:rPr>
              <w:t xml:space="preserve"> – Disclosure of contracts and licenses </w:t>
            </w:r>
            <w:r>
              <w:rPr>
                <w:b/>
                <w:bCs/>
                <w:u w:val="single"/>
              </w:rPr>
              <w:t>prior</w:t>
            </w:r>
            <w:r>
              <w:rPr>
                <w:b/>
                <w:bCs/>
              </w:rPr>
              <w:t xml:space="preserve"> to January 2021</w:t>
            </w:r>
          </w:p>
        </w:tc>
      </w:tr>
      <w:tr w:rsidR="00BB62F4" w14:paraId="5C3B8C25" w14:textId="77777777">
        <w:tc>
          <w:tcPr>
            <w:tcW w:w="1096" w:type="dxa"/>
          </w:tcPr>
          <w:p w14:paraId="14E380AC" w14:textId="77777777" w:rsidR="00BB62F4" w:rsidRDefault="00000000">
            <w:pPr>
              <w:rPr>
                <w:i/>
                <w:iCs/>
              </w:rPr>
            </w:pPr>
            <w:r>
              <w:rPr>
                <w:i/>
                <w:iCs/>
              </w:rPr>
              <w:t>Availability</w:t>
            </w:r>
          </w:p>
        </w:tc>
        <w:tc>
          <w:tcPr>
            <w:tcW w:w="7966" w:type="dxa"/>
          </w:tcPr>
          <w:p w14:paraId="76CBF83C" w14:textId="77777777" w:rsidR="00BB62F4" w:rsidRDefault="00000000">
            <w:pPr>
              <w:rPr>
                <w:b/>
                <w:bCs/>
              </w:rPr>
            </w:pPr>
            <w:r>
              <w:rPr>
                <w:b/>
                <w:bCs/>
              </w:rPr>
              <w:t xml:space="preserve">Are </w:t>
            </w:r>
            <w:r>
              <w:rPr>
                <w:b/>
                <w:bCs/>
                <w:u w:val="single"/>
              </w:rPr>
              <w:t>contracts</w:t>
            </w:r>
            <w:r>
              <w:rPr>
                <w:b/>
                <w:bCs/>
              </w:rPr>
              <w:t xml:space="preserve"> that provide the terms attached to the exploitation </w:t>
            </w:r>
            <w:r>
              <w:rPr>
                <w:b/>
                <w:bCs/>
                <w:u w:val="single"/>
              </w:rPr>
              <w:t xml:space="preserve">concluded prior to January 2021 </w:t>
            </w:r>
            <w:r>
              <w:rPr>
                <w:b/>
                <w:bCs/>
              </w:rPr>
              <w:t>publicly disclosed?</w:t>
            </w:r>
          </w:p>
          <w:p w14:paraId="09FF0704" w14:textId="77777777" w:rsidR="00BB62F4" w:rsidRDefault="00000000">
            <w:pPr>
              <w:pBdr>
                <w:top w:val="nil"/>
                <w:left w:val="nil"/>
                <w:bottom w:val="nil"/>
                <w:right w:val="nil"/>
                <w:between w:val="nil"/>
              </w:pBdr>
              <w:ind w:left="360"/>
              <w:rPr>
                <w:color w:val="000000"/>
                <w:shd w:val="clear" w:color="auto" w:fill="D9E2F3"/>
              </w:rPr>
            </w:pPr>
            <w:r>
              <w:rPr>
                <w:rFonts w:ascii="MS Gothic" w:eastAsia="MS Gothic" w:hAnsi="MS Gothic" w:cs="MS Gothic"/>
                <w:color w:val="000000"/>
              </w:rPr>
              <w:t>☐</w:t>
            </w:r>
            <w:r>
              <w:rPr>
                <w:color w:val="000000"/>
              </w:rPr>
              <w:t xml:space="preserve"> </w:t>
            </w:r>
            <w:r>
              <w:rPr>
                <w:color w:val="000000"/>
                <w:shd w:val="clear" w:color="auto" w:fill="D9E2F3"/>
              </w:rPr>
              <w:t>Yes</w:t>
            </w:r>
            <w:sdt>
              <w:sdtPr>
                <w:tag w:val="goog_rdk_33"/>
                <w:id w:val="1804706059"/>
              </w:sdtPr>
              <w:sdtContent>
                <w:r>
                  <w:rPr>
                    <w:rFonts w:ascii="Arial Unicode MS" w:eastAsia="Arial Unicode MS" w:hAnsi="Arial Unicode MS" w:cs="Arial Unicode MS"/>
                    <w:color w:val="000000"/>
                  </w:rPr>
                  <w:t xml:space="preserve">     ☐ </w:t>
                </w:r>
              </w:sdtContent>
            </w:sdt>
            <w:r>
              <w:rPr>
                <w:color w:val="000000"/>
                <w:shd w:val="clear" w:color="auto" w:fill="D9E2F3"/>
              </w:rPr>
              <w:t xml:space="preserve">No </w:t>
            </w:r>
            <w:r>
              <w:rPr>
                <w:color w:val="000000"/>
              </w:rPr>
              <w:t xml:space="preserve">   </w:t>
            </w:r>
            <w:r>
              <w:rPr>
                <w:rFonts w:ascii="MS Gothic" w:eastAsia="MS Gothic" w:hAnsi="MS Gothic" w:cs="MS Gothic"/>
                <w:color w:val="000000"/>
              </w:rPr>
              <w:t>☒</w:t>
            </w:r>
            <w:r>
              <w:rPr>
                <w:color w:val="000000"/>
                <w:shd w:val="clear" w:color="auto" w:fill="D9E2F3"/>
              </w:rPr>
              <w:t>Partially</w:t>
            </w:r>
          </w:p>
          <w:p w14:paraId="17BCE99D" w14:textId="77777777" w:rsidR="00BB62F4" w:rsidRDefault="00000000">
            <w:pPr>
              <w:rPr>
                <w:b/>
                <w:bCs/>
              </w:rPr>
            </w:pPr>
            <w:r>
              <w:rPr>
                <w:b/>
                <w:bCs/>
              </w:rPr>
              <w:t xml:space="preserve">Are </w:t>
            </w:r>
            <w:r>
              <w:rPr>
                <w:b/>
                <w:bCs/>
                <w:u w:val="single"/>
              </w:rPr>
              <w:t>licenses</w:t>
            </w:r>
            <w:r>
              <w:rPr>
                <w:b/>
                <w:bCs/>
              </w:rPr>
              <w:t xml:space="preserve"> that provide the terms attached to the exploitation </w:t>
            </w:r>
            <w:r>
              <w:rPr>
                <w:b/>
                <w:bCs/>
                <w:u w:val="single"/>
              </w:rPr>
              <w:t xml:space="preserve">concluded prior to January 2021 </w:t>
            </w:r>
            <w:r>
              <w:rPr>
                <w:b/>
                <w:bCs/>
              </w:rPr>
              <w:t>publicly disclosed?</w:t>
            </w:r>
          </w:p>
          <w:p w14:paraId="455AF89D" w14:textId="77777777" w:rsidR="00BB62F4" w:rsidRDefault="00000000">
            <w:pPr>
              <w:pBdr>
                <w:top w:val="nil"/>
                <w:left w:val="nil"/>
                <w:bottom w:val="nil"/>
                <w:right w:val="nil"/>
                <w:between w:val="nil"/>
              </w:pBdr>
              <w:ind w:left="360"/>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sdt>
              <w:sdtPr>
                <w:tag w:val="goog_rdk_34"/>
                <w:id w:val="2001061914"/>
              </w:sdtPr>
              <w:sdtContent>
                <w:r>
                  <w:rPr>
                    <w:rFonts w:ascii="Arial Unicode MS" w:eastAsia="Arial Unicode MS" w:hAnsi="Arial Unicode MS" w:cs="Arial Unicode MS"/>
                    <w:color w:val="000000"/>
                  </w:rPr>
                  <w:t xml:space="preserve">     ☐ </w:t>
                </w:r>
              </w:sdtContent>
            </w:sdt>
            <w:r>
              <w:rPr>
                <w:color w:val="000000"/>
                <w:shd w:val="clear" w:color="auto" w:fill="D9E2F3"/>
              </w:rPr>
              <w:t xml:space="preserve">No </w:t>
            </w:r>
            <w:r>
              <w:rPr>
                <w:color w:val="000000"/>
              </w:rPr>
              <w:t xml:space="preserve">   </w:t>
            </w:r>
            <w:r>
              <w:rPr>
                <w:rFonts w:ascii="MS Gothic" w:eastAsia="MS Gothic" w:hAnsi="MS Gothic" w:cs="MS Gothic"/>
                <w:color w:val="000000"/>
              </w:rPr>
              <w:t>☒</w:t>
            </w:r>
            <w:r>
              <w:rPr>
                <w:color w:val="000000"/>
                <w:shd w:val="clear" w:color="auto" w:fill="D9E2F3"/>
              </w:rPr>
              <w:t>Partially</w:t>
            </w:r>
          </w:p>
          <w:p w14:paraId="4E006AF0" w14:textId="77777777" w:rsidR="00BB62F4" w:rsidRDefault="00000000">
            <w:pPr>
              <w:rPr>
                <w:b/>
                <w:bCs/>
              </w:rPr>
            </w:pPr>
            <w:r>
              <w:rPr>
                <w:b/>
                <w:bCs/>
              </w:rPr>
              <w:t>Are material exploration contracts sector publicly disclosed?</w:t>
            </w:r>
          </w:p>
          <w:p w14:paraId="0113531B" w14:textId="77777777" w:rsidR="00BB62F4" w:rsidRDefault="00000000">
            <w:pPr>
              <w:pBdr>
                <w:top w:val="nil"/>
                <w:left w:val="nil"/>
                <w:bottom w:val="nil"/>
                <w:right w:val="nil"/>
                <w:between w:val="nil"/>
              </w:pBdr>
              <w:ind w:left="360"/>
              <w:rPr>
                <w:color w:val="000000"/>
                <w:shd w:val="clear" w:color="auto" w:fill="D9E2F3"/>
              </w:rPr>
            </w:pPr>
            <w:sdt>
              <w:sdtPr>
                <w:tag w:val="goog_rdk_35"/>
                <w:id w:val="956397056"/>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Yes</w:t>
            </w:r>
            <w:r>
              <w:rPr>
                <w:color w:val="000000"/>
              </w:rPr>
              <w:t xml:space="preserve">     </w:t>
            </w:r>
            <w:sdt>
              <w:sdtPr>
                <w:tag w:val="goog_rdk_36"/>
                <w:id w:val="-834058681"/>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 xml:space="preserve">No </w:t>
            </w:r>
            <w:r>
              <w:rPr>
                <w:color w:val="000000"/>
              </w:rPr>
              <w:t xml:space="preserve">  </w:t>
            </w:r>
            <w:r>
              <w:rPr>
                <w:rFonts w:ascii="MS Gothic" w:eastAsia="MS Gothic" w:hAnsi="MS Gothic" w:cs="MS Gothic"/>
                <w:color w:val="000000"/>
              </w:rPr>
              <w:t>☒</w:t>
            </w:r>
            <w:r>
              <w:rPr>
                <w:color w:val="000000"/>
                <w:shd w:val="clear" w:color="auto" w:fill="D9E2F3"/>
              </w:rPr>
              <w:t>Partially</w:t>
            </w:r>
          </w:p>
          <w:p w14:paraId="5D67E516" w14:textId="77777777" w:rsidR="00BB62F4" w:rsidRDefault="00BB62F4">
            <w:pPr>
              <w:pBdr>
                <w:top w:val="nil"/>
                <w:left w:val="nil"/>
                <w:bottom w:val="nil"/>
                <w:right w:val="nil"/>
                <w:between w:val="nil"/>
              </w:pBdr>
              <w:ind w:left="360"/>
              <w:rPr>
                <w:b/>
                <w:bCs/>
                <w:color w:val="000000"/>
                <w:shd w:val="clear" w:color="auto" w:fill="D9E2F3"/>
              </w:rPr>
            </w:pPr>
          </w:p>
          <w:p w14:paraId="75CC5242" w14:textId="77777777" w:rsidR="00BB62F4" w:rsidRDefault="00000000">
            <w:r>
              <w:t xml:space="preserve">If </w:t>
            </w:r>
            <w:r>
              <w:rPr>
                <w:u w:val="single"/>
              </w:rPr>
              <w:t>yes or partially,</w:t>
            </w:r>
            <w:r>
              <w:t xml:space="preserve"> are they available in the same place as the other contracts and licenses (see section above)? </w:t>
            </w:r>
            <w:r>
              <w:rPr>
                <w:rFonts w:ascii="MS Gothic" w:eastAsia="MS Gothic" w:hAnsi="MS Gothic" w:cs="MS Gothic"/>
              </w:rPr>
              <w:t>☒</w:t>
            </w:r>
            <w:r>
              <w:t xml:space="preserve"> </w:t>
            </w:r>
            <w:r>
              <w:rPr>
                <w:shd w:val="clear" w:color="auto" w:fill="D9E2F3"/>
              </w:rPr>
              <w:t>Yes</w:t>
            </w:r>
            <w:r>
              <w:t xml:space="preserve">     </w:t>
            </w:r>
            <w:sdt>
              <w:sdtPr>
                <w:tag w:val="goog_rdk_37"/>
                <w:id w:val="947473337"/>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3A7CAE68" w14:textId="77777777" w:rsidR="00BB62F4" w:rsidRDefault="00BB62F4">
            <w:pPr>
              <w:rPr>
                <w:b/>
                <w:bCs/>
              </w:rPr>
            </w:pPr>
          </w:p>
        </w:tc>
      </w:tr>
      <w:tr w:rsidR="00BB62F4" w14:paraId="516E2AD7" w14:textId="77777777">
        <w:tc>
          <w:tcPr>
            <w:tcW w:w="1096" w:type="dxa"/>
            <w:shd w:val="clear" w:color="auto" w:fill="B4C6E7"/>
          </w:tcPr>
          <w:p w14:paraId="737C4267" w14:textId="77777777" w:rsidR="00BB62F4" w:rsidRDefault="00000000">
            <w:pPr>
              <w:rPr>
                <w:i/>
                <w:iCs/>
              </w:rPr>
            </w:pPr>
            <w:r>
              <w:rPr>
                <w:b/>
                <w:bCs/>
              </w:rPr>
              <w:t>Required</w:t>
            </w:r>
          </w:p>
        </w:tc>
        <w:tc>
          <w:tcPr>
            <w:tcW w:w="7966" w:type="dxa"/>
            <w:shd w:val="clear" w:color="auto" w:fill="B4C6E7"/>
          </w:tcPr>
          <w:p w14:paraId="010C56E4" w14:textId="77777777" w:rsidR="00BB62F4" w:rsidRDefault="00000000">
            <w:pPr>
              <w:rPr>
                <w:b/>
                <w:bCs/>
              </w:rPr>
            </w:pPr>
            <w:r>
              <w:rPr>
                <w:b/>
                <w:bCs/>
              </w:rPr>
              <w:t>#2.</w:t>
            </w:r>
            <w:proofErr w:type="gramStart"/>
            <w:r>
              <w:rPr>
                <w:b/>
                <w:bCs/>
              </w:rPr>
              <w:t>4.d</w:t>
            </w:r>
            <w:proofErr w:type="gramEnd"/>
            <w:r>
              <w:rPr>
                <w:b/>
                <w:bCs/>
              </w:rPr>
              <w:t xml:space="preserve"> – Definition of scope </w:t>
            </w:r>
          </w:p>
        </w:tc>
      </w:tr>
      <w:tr w:rsidR="00BB62F4" w14:paraId="306DAE3D" w14:textId="77777777">
        <w:tc>
          <w:tcPr>
            <w:tcW w:w="1096" w:type="dxa"/>
            <w:shd w:val="clear" w:color="auto" w:fill="FFFFFF"/>
          </w:tcPr>
          <w:p w14:paraId="0A6E54EC" w14:textId="77777777" w:rsidR="00BB62F4" w:rsidRDefault="00000000">
            <w:pPr>
              <w:rPr>
                <w:i/>
                <w:iCs/>
              </w:rPr>
            </w:pPr>
            <w:r>
              <w:rPr>
                <w:i/>
                <w:iCs/>
              </w:rPr>
              <w:lastRenderedPageBreak/>
              <w:t>Applicability</w:t>
            </w:r>
          </w:p>
        </w:tc>
        <w:tc>
          <w:tcPr>
            <w:tcW w:w="7966" w:type="dxa"/>
            <w:shd w:val="clear" w:color="auto" w:fill="FFFFFF"/>
          </w:tcPr>
          <w:p w14:paraId="45BCA65E" w14:textId="77777777" w:rsidR="00BB62F4" w:rsidRDefault="00000000">
            <w:pPr>
              <w:rPr>
                <w:b/>
                <w:bCs/>
              </w:rPr>
            </w:pPr>
            <w:r>
              <w:rPr>
                <w:b/>
                <w:bCs/>
              </w:rPr>
              <w:t>#2.</w:t>
            </w:r>
            <w:proofErr w:type="gramStart"/>
            <w:r>
              <w:rPr>
                <w:b/>
                <w:bCs/>
              </w:rPr>
              <w:t>4.d.i.</w:t>
            </w:r>
            <w:proofErr w:type="gramEnd"/>
            <w:r>
              <w:rPr>
                <w:b/>
                <w:bCs/>
              </w:rPr>
              <w:t xml:space="preserve"> – Has the MSG determined which </w:t>
            </w:r>
            <w:r>
              <w:rPr>
                <w:b/>
                <w:bCs/>
                <w:u w:val="single"/>
              </w:rPr>
              <w:t>exploration</w:t>
            </w:r>
            <w:r>
              <w:rPr>
                <w:b/>
                <w:bCs/>
              </w:rPr>
              <w:t xml:space="preserve"> contracts to disclose based on materiality and practicality?</w:t>
            </w:r>
          </w:p>
          <w:p w14:paraId="71474CAC" w14:textId="77777777" w:rsidR="00BB62F4" w:rsidRDefault="00000000">
            <w:pPr>
              <w:rPr>
                <w:shd w:val="clear" w:color="auto" w:fill="D9E2F3"/>
              </w:rPr>
            </w:pPr>
            <w:r>
              <w:rPr>
                <w:rFonts w:ascii="Quattrocento Sans" w:eastAsia="Quattrocento Sans" w:hAnsi="Quattrocento Sans" w:cs="Quattrocento Sans"/>
              </w:rPr>
              <w:t>​​</w:t>
            </w:r>
            <w:r>
              <w:rPr>
                <w:rFonts w:ascii="EB Garamond" w:eastAsia="EB Garamond" w:hAnsi="EB Garamond" w:cs="EB Garamond"/>
              </w:rPr>
              <w:t> </w:t>
            </w:r>
            <w:sdt>
              <w:sdtPr>
                <w:tag w:val="goog_rdk_38"/>
                <w:id w:val="522797042"/>
              </w:sdtPr>
              <w:sdtContent>
                <w:r>
                  <w:rPr>
                    <w:rFonts w:ascii="Arial Unicode MS" w:eastAsia="Arial Unicode MS" w:hAnsi="Arial Unicode MS" w:cs="Arial Unicode MS"/>
                  </w:rPr>
                  <w:t>☒​</w:t>
                </w:r>
              </w:sdtContent>
            </w:sdt>
            <w:r>
              <w:rPr>
                <w:rFonts w:ascii="EB Garamond" w:eastAsia="EB Garamond" w:hAnsi="EB Garamond" w:cs="EB Garamond"/>
              </w:rPr>
              <w:t xml:space="preserve"> </w:t>
            </w:r>
            <w:r>
              <w:rPr>
                <w:rFonts w:ascii="EB Garamond" w:eastAsia="EB Garamond" w:hAnsi="EB Garamond" w:cs="EB Garamond"/>
                <w:shd w:val="clear" w:color="auto" w:fill="D9E2F3"/>
              </w:rPr>
              <w:t>Yes</w:t>
            </w:r>
            <w:r>
              <w:rPr>
                <w:shd w:val="clear" w:color="auto" w:fill="D9E2F3"/>
              </w:rPr>
              <w:t> </w:t>
            </w:r>
            <w:sdt>
              <w:sdtPr>
                <w:tag w:val="goog_rdk_39"/>
                <w:id w:val="-854253067"/>
              </w:sdtPr>
              <w:sdtContent>
                <w:r>
                  <w:rPr>
                    <w:rFonts w:ascii="Arial Unicode MS" w:eastAsia="Arial Unicode MS" w:hAnsi="Arial Unicode MS" w:cs="Arial Unicode MS"/>
                  </w:rPr>
                  <w:t xml:space="preserve">  ​☐​ </w:t>
                </w:r>
              </w:sdtContent>
            </w:sdt>
            <w:r>
              <w:rPr>
                <w:shd w:val="clear" w:color="auto" w:fill="D9E2F3"/>
              </w:rPr>
              <w:t>No  </w:t>
            </w:r>
          </w:p>
          <w:p w14:paraId="57554B3C" w14:textId="77777777" w:rsidR="00BB62F4" w:rsidRDefault="00000000">
            <w:pPr>
              <w:shd w:val="clear" w:color="auto" w:fill="D9E2F3"/>
              <w:rPr>
                <w:i/>
                <w:iCs/>
              </w:rPr>
            </w:pPr>
            <w:r>
              <w:t xml:space="preserve">Explain: </w:t>
            </w:r>
            <w:r>
              <w:rPr>
                <w:i/>
                <w:iCs/>
              </w:rPr>
              <w:t xml:space="preserve"> can include reference and link to MSG meeting minutes or other documentation to demonstrate the MSG’s considerations, or explain why it has not considered this aspect</w:t>
            </w:r>
          </w:p>
          <w:p w14:paraId="7E34143C" w14:textId="77777777" w:rsidR="00BB62F4" w:rsidRDefault="00BB62F4">
            <w:pPr>
              <w:pBdr>
                <w:top w:val="nil"/>
                <w:left w:val="nil"/>
                <w:bottom w:val="nil"/>
                <w:right w:val="nil"/>
                <w:between w:val="nil"/>
              </w:pBdr>
              <w:shd w:val="clear" w:color="auto" w:fill="D9E2F3"/>
              <w:spacing w:before="0" w:after="0"/>
              <w:rPr>
                <w:rFonts w:ascii="Quattrocento Sans" w:eastAsia="Quattrocento Sans" w:hAnsi="Quattrocento Sans" w:cs="Quattrocento Sans"/>
                <w:i/>
                <w:iCs/>
                <w:color w:val="000000"/>
              </w:rPr>
            </w:pPr>
          </w:p>
          <w:p w14:paraId="2EF94107" w14:textId="77777777" w:rsidR="00BB62F4" w:rsidRDefault="00BB62F4">
            <w:pPr>
              <w:rPr>
                <w:b/>
                <w:bCs/>
              </w:rPr>
            </w:pPr>
          </w:p>
          <w:p w14:paraId="2B406D81" w14:textId="77777777" w:rsidR="00BB62F4" w:rsidRDefault="00000000">
            <w:pPr>
              <w:rPr>
                <w:b/>
                <w:bCs/>
              </w:rPr>
            </w:pPr>
            <w:r>
              <w:rPr>
                <w:b/>
                <w:bCs/>
              </w:rPr>
              <w:t>#2.4.</w:t>
            </w:r>
            <w:proofErr w:type="gramStart"/>
            <w:r>
              <w:rPr>
                <w:b/>
                <w:bCs/>
              </w:rPr>
              <w:t>d.ii.</w:t>
            </w:r>
            <w:proofErr w:type="gramEnd"/>
            <w:r>
              <w:rPr>
                <w:b/>
                <w:bCs/>
              </w:rPr>
              <w:t xml:space="preserve"> – Has the MSG agreed and documented what should be considered an annexe, addendum or rider?</w:t>
            </w:r>
          </w:p>
          <w:p w14:paraId="61B5BE09" w14:textId="77777777" w:rsidR="00BB62F4" w:rsidRDefault="00000000">
            <w:pPr>
              <w:rPr>
                <w:shd w:val="clear" w:color="auto" w:fill="D9E2F3"/>
              </w:rPr>
            </w:pPr>
            <w:sdt>
              <w:sdtPr>
                <w:tag w:val="goog_rdk_40"/>
                <w:id w:val="1232265186"/>
              </w:sdtPr>
              <w:sdtContent>
                <w:r>
                  <w:rPr>
                    <w:rFonts w:ascii="Arial Unicode MS" w:eastAsia="Arial Unicode MS" w:hAnsi="Arial Unicode MS" w:cs="Arial Unicode MS"/>
                  </w:rPr>
                  <w:t xml:space="preserve">​​☐​ </w:t>
                </w:r>
              </w:sdtContent>
            </w:sdt>
            <w:r>
              <w:rPr>
                <w:shd w:val="clear" w:color="auto" w:fill="D9E2F3"/>
              </w:rPr>
              <w:t>Yes </w:t>
            </w:r>
            <w:sdt>
              <w:sdtPr>
                <w:tag w:val="goog_rdk_41"/>
                <w:id w:val="2137956785"/>
              </w:sdtPr>
              <w:sdtContent>
                <w:r>
                  <w:rPr>
                    <w:rFonts w:ascii="Arial Unicode MS" w:eastAsia="Arial Unicode MS" w:hAnsi="Arial Unicode MS" w:cs="Arial Unicode MS"/>
                  </w:rPr>
                  <w:t>  ☒​</w:t>
                </w:r>
              </w:sdtContent>
            </w:sdt>
            <w:r>
              <w:rPr>
                <w:rFonts w:ascii="EB Garamond" w:eastAsia="EB Garamond" w:hAnsi="EB Garamond" w:cs="EB Garamond"/>
              </w:rPr>
              <w:t xml:space="preserve"> </w:t>
            </w:r>
            <w:r>
              <w:rPr>
                <w:rFonts w:ascii="EB Garamond" w:eastAsia="EB Garamond" w:hAnsi="EB Garamond" w:cs="EB Garamond"/>
                <w:shd w:val="clear" w:color="auto" w:fill="D9E2F3"/>
              </w:rPr>
              <w:t>No</w:t>
            </w:r>
            <w:r>
              <w:rPr>
                <w:rFonts w:ascii="Quattrocento Sans" w:eastAsia="Quattrocento Sans" w:hAnsi="Quattrocento Sans" w:cs="Quattrocento Sans"/>
              </w:rPr>
              <w:t>​</w:t>
            </w:r>
            <w:r>
              <w:rPr>
                <w:shd w:val="clear" w:color="auto" w:fill="D9E2F3"/>
              </w:rPr>
              <w:t> </w:t>
            </w:r>
          </w:p>
          <w:p w14:paraId="144846C0" w14:textId="77777777" w:rsidR="00BB62F4" w:rsidRDefault="00000000">
            <w:pPr>
              <w:shd w:val="clear" w:color="auto" w:fill="D9E2F3"/>
              <w:rPr>
                <w:i/>
                <w:iCs/>
              </w:rPr>
            </w:pPr>
            <w:r>
              <w:t xml:space="preserve">Explain: </w:t>
            </w:r>
            <w:r>
              <w:rPr>
                <w:i/>
                <w:iCs/>
              </w:rPr>
              <w:t xml:space="preserve"> can include reference and link to MSG meeting minutes or other documentation to demonstrate the MSG’s considerations, or explain why it has not considered this aspect</w:t>
            </w:r>
          </w:p>
          <w:p w14:paraId="33CEE14F" w14:textId="77777777" w:rsidR="00BB62F4" w:rsidRDefault="00BB62F4">
            <w:pPr>
              <w:pBdr>
                <w:top w:val="nil"/>
                <w:left w:val="nil"/>
                <w:bottom w:val="nil"/>
                <w:right w:val="nil"/>
                <w:between w:val="nil"/>
              </w:pBdr>
              <w:shd w:val="clear" w:color="auto" w:fill="D9E2F3"/>
              <w:spacing w:before="0" w:after="0"/>
              <w:rPr>
                <w:rFonts w:ascii="Quattrocento Sans" w:eastAsia="Quattrocento Sans" w:hAnsi="Quattrocento Sans" w:cs="Quattrocento Sans"/>
                <w:color w:val="000000"/>
              </w:rPr>
            </w:pPr>
          </w:p>
          <w:p w14:paraId="22A657F6" w14:textId="77777777" w:rsidR="00BB62F4" w:rsidRDefault="00BB62F4">
            <w:pPr>
              <w:rPr>
                <w:b/>
                <w:bCs/>
              </w:rPr>
            </w:pPr>
          </w:p>
          <w:p w14:paraId="62893E0C" w14:textId="77777777" w:rsidR="00BB62F4" w:rsidRDefault="00000000">
            <w:pPr>
              <w:rPr>
                <w:b/>
                <w:bCs/>
              </w:rPr>
            </w:pPr>
            <w:r>
              <w:rPr>
                <w:b/>
                <w:bCs/>
              </w:rPr>
              <w:t>#2.4.</w:t>
            </w:r>
            <w:proofErr w:type="gramStart"/>
            <w:r>
              <w:rPr>
                <w:b/>
                <w:bCs/>
              </w:rPr>
              <w:t>d.ii.</w:t>
            </w:r>
            <w:proofErr w:type="gramEnd"/>
            <w:r>
              <w:rPr>
                <w:b/>
                <w:bCs/>
              </w:rPr>
              <w:t xml:space="preserve"> – Has the taken into account demand from national stakeholders and the country context?</w:t>
            </w:r>
          </w:p>
          <w:p w14:paraId="461E4FB7" w14:textId="77777777" w:rsidR="00BB62F4" w:rsidRDefault="00000000">
            <w:pPr>
              <w:rPr>
                <w:shd w:val="clear" w:color="auto" w:fill="D9E2F3"/>
              </w:rPr>
            </w:pPr>
            <w:sdt>
              <w:sdtPr>
                <w:tag w:val="goog_rdk_42"/>
                <w:id w:val="-1013849562"/>
              </w:sdtPr>
              <w:sdtContent>
                <w:r>
                  <w:rPr>
                    <w:rFonts w:ascii="Arial Unicode MS" w:eastAsia="Arial Unicode MS" w:hAnsi="Arial Unicode MS" w:cs="Arial Unicode MS"/>
                  </w:rPr>
                  <w:t xml:space="preserve">​​☐​ </w:t>
                </w:r>
              </w:sdtContent>
            </w:sdt>
            <w:r>
              <w:rPr>
                <w:shd w:val="clear" w:color="auto" w:fill="D9E2F3"/>
              </w:rPr>
              <w:t>Yes </w:t>
            </w:r>
            <w:sdt>
              <w:sdtPr>
                <w:tag w:val="goog_rdk_43"/>
                <w:id w:val="2072129850"/>
              </w:sdtPr>
              <w:sdtContent>
                <w:r>
                  <w:rPr>
                    <w:rFonts w:ascii="Arial Unicode MS" w:eastAsia="Arial Unicode MS" w:hAnsi="Arial Unicode MS" w:cs="Arial Unicode MS"/>
                  </w:rPr>
                  <w:t> ☒​</w:t>
                </w:r>
              </w:sdtContent>
            </w:sdt>
            <w:r>
              <w:rPr>
                <w:rFonts w:ascii="EB Garamond" w:eastAsia="EB Garamond" w:hAnsi="EB Garamond" w:cs="EB Garamond"/>
              </w:rPr>
              <w:t xml:space="preserve"> </w:t>
            </w:r>
            <w:r>
              <w:rPr>
                <w:rFonts w:ascii="EB Garamond" w:eastAsia="EB Garamond" w:hAnsi="EB Garamond" w:cs="EB Garamond"/>
                <w:shd w:val="clear" w:color="auto" w:fill="D9E2F3"/>
              </w:rPr>
              <w:t>No</w:t>
            </w:r>
            <w:r>
              <w:rPr>
                <w:rFonts w:ascii="Quattrocento Sans" w:eastAsia="Quattrocento Sans" w:hAnsi="Quattrocento Sans" w:cs="Quattrocento Sans"/>
              </w:rPr>
              <w:t xml:space="preserve"> </w:t>
            </w:r>
            <w:r>
              <w:rPr>
                <w:shd w:val="clear" w:color="auto" w:fill="D9E2F3"/>
              </w:rPr>
              <w:t>  </w:t>
            </w:r>
          </w:p>
          <w:p w14:paraId="13E4F4E7" w14:textId="77777777" w:rsidR="00BB62F4" w:rsidRDefault="00000000">
            <w:pPr>
              <w:shd w:val="clear" w:color="auto" w:fill="D9E2F3"/>
              <w:rPr>
                <w:i/>
                <w:iCs/>
              </w:rPr>
            </w:pPr>
            <w:r>
              <w:t xml:space="preserve">Explain: </w:t>
            </w:r>
            <w:r>
              <w:rPr>
                <w:i/>
                <w:iCs/>
              </w:rPr>
              <w:t xml:space="preserve"> can include reference and link to MSG meeting minutes or other documentation to demonstrate the MSG’s considerations, or explain why it has not considered this aspect</w:t>
            </w:r>
          </w:p>
          <w:p w14:paraId="5193F817" w14:textId="77777777" w:rsidR="00BB62F4" w:rsidRDefault="00BB62F4">
            <w:pPr>
              <w:pBdr>
                <w:top w:val="nil"/>
                <w:left w:val="nil"/>
                <w:bottom w:val="nil"/>
                <w:right w:val="nil"/>
                <w:between w:val="nil"/>
              </w:pBdr>
              <w:shd w:val="clear" w:color="auto" w:fill="D9E2F3"/>
              <w:rPr>
                <w:color w:val="000000"/>
              </w:rPr>
            </w:pPr>
          </w:p>
          <w:p w14:paraId="34A170B5" w14:textId="77777777" w:rsidR="00BB62F4" w:rsidRDefault="00BB62F4">
            <w:pPr>
              <w:pBdr>
                <w:top w:val="nil"/>
                <w:left w:val="nil"/>
                <w:bottom w:val="nil"/>
                <w:right w:val="nil"/>
                <w:between w:val="nil"/>
              </w:pBdr>
              <w:rPr>
                <w:rFonts w:ascii="Quattrocento Sans" w:eastAsia="Quattrocento Sans" w:hAnsi="Quattrocento Sans" w:cs="Quattrocento Sans"/>
                <w:color w:val="000000"/>
              </w:rPr>
            </w:pPr>
          </w:p>
        </w:tc>
      </w:tr>
      <w:tr w:rsidR="00BB62F4" w14:paraId="2993B838" w14:textId="77777777">
        <w:tc>
          <w:tcPr>
            <w:tcW w:w="1096" w:type="dxa"/>
            <w:shd w:val="clear" w:color="auto" w:fill="B4C6E7"/>
          </w:tcPr>
          <w:p w14:paraId="7AC235DE" w14:textId="77777777" w:rsidR="00BB62F4" w:rsidRDefault="00000000">
            <w:pPr>
              <w:rPr>
                <w:b/>
                <w:bCs/>
              </w:rPr>
            </w:pPr>
            <w:r>
              <w:rPr>
                <w:b/>
                <w:bCs/>
              </w:rPr>
              <w:t>Expected</w:t>
            </w:r>
          </w:p>
        </w:tc>
        <w:tc>
          <w:tcPr>
            <w:tcW w:w="7966" w:type="dxa"/>
            <w:shd w:val="clear" w:color="auto" w:fill="B4C6E7"/>
          </w:tcPr>
          <w:p w14:paraId="07999271" w14:textId="77777777" w:rsidR="00BB62F4" w:rsidRDefault="00000000">
            <w:pPr>
              <w:rPr>
                <w:b/>
                <w:bCs/>
              </w:rPr>
            </w:pPr>
            <w:r>
              <w:rPr>
                <w:b/>
                <w:bCs/>
              </w:rPr>
              <w:t>#2.</w:t>
            </w:r>
            <w:proofErr w:type="gramStart"/>
            <w:r>
              <w:rPr>
                <w:b/>
                <w:bCs/>
              </w:rPr>
              <w:t>4.b</w:t>
            </w:r>
            <w:proofErr w:type="gramEnd"/>
            <w:r>
              <w:rPr>
                <w:b/>
                <w:bCs/>
              </w:rPr>
              <w:t xml:space="preserve"> - MSG plan for contract disclosure</w:t>
            </w:r>
          </w:p>
        </w:tc>
      </w:tr>
      <w:tr w:rsidR="00BB62F4" w14:paraId="34D9AFA7" w14:textId="77777777">
        <w:tc>
          <w:tcPr>
            <w:tcW w:w="1096" w:type="dxa"/>
            <w:shd w:val="clear" w:color="auto" w:fill="FFFFFF"/>
          </w:tcPr>
          <w:p w14:paraId="230EF48B" w14:textId="77777777" w:rsidR="00BB62F4" w:rsidRDefault="00000000">
            <w:r>
              <w:rPr>
                <w:i/>
                <w:iCs/>
              </w:rPr>
              <w:t>Availability</w:t>
            </w:r>
          </w:p>
        </w:tc>
        <w:tc>
          <w:tcPr>
            <w:tcW w:w="7966" w:type="dxa"/>
            <w:shd w:val="clear" w:color="auto" w:fill="FFFFFF"/>
          </w:tcPr>
          <w:p w14:paraId="0FC834D1" w14:textId="77777777" w:rsidR="00BB62F4" w:rsidRDefault="00000000">
            <w:pPr>
              <w:rPr>
                <w:b/>
                <w:bCs/>
              </w:rPr>
            </w:pPr>
            <w:r>
              <w:rPr>
                <w:b/>
                <w:bCs/>
              </w:rPr>
              <w:t xml:space="preserve">Has the MSG agreed and published a </w:t>
            </w:r>
            <w:r>
              <w:rPr>
                <w:b/>
                <w:bCs/>
                <w:u w:val="single"/>
              </w:rPr>
              <w:t>plan</w:t>
            </w:r>
            <w:r>
              <w:rPr>
                <w:b/>
                <w:bCs/>
              </w:rPr>
              <w:t xml:space="preserve"> for disclosing contracts?</w:t>
            </w:r>
          </w:p>
          <w:p w14:paraId="0E9EF1DF" w14:textId="77777777" w:rsidR="00BB62F4" w:rsidRDefault="00000000">
            <w:pPr>
              <w:pBdr>
                <w:top w:val="nil"/>
                <w:left w:val="nil"/>
                <w:bottom w:val="nil"/>
                <w:right w:val="nil"/>
                <w:between w:val="nil"/>
              </w:pBdr>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sdt>
              <w:sdtPr>
                <w:tag w:val="goog_rdk_44"/>
                <w:id w:val="1410327537"/>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 xml:space="preserve">No  </w:t>
            </w:r>
            <w:r>
              <w:rPr>
                <w:color w:val="000000"/>
              </w:rPr>
              <w:t xml:space="preserve"> </w:t>
            </w:r>
          </w:p>
          <w:p w14:paraId="02B1B77B" w14:textId="77777777" w:rsidR="00BB62F4" w:rsidRDefault="00000000">
            <w:pPr>
              <w:rPr>
                <w:b/>
                <w:bCs/>
              </w:rPr>
            </w:pPr>
            <w:r>
              <w:rPr>
                <w:b/>
                <w:bCs/>
                <w:u w:val="single"/>
              </w:rPr>
              <w:t>If yes</w:t>
            </w:r>
            <w:r>
              <w:rPr>
                <w:b/>
                <w:bCs/>
              </w:rPr>
              <w:t>, does the plan:</w:t>
            </w:r>
          </w:p>
          <w:p w14:paraId="76D89763" w14:textId="77777777" w:rsidR="00BB62F4" w:rsidRDefault="00000000">
            <w:pPr>
              <w:numPr>
                <w:ilvl w:val="0"/>
                <w:numId w:val="6"/>
              </w:numPr>
              <w:pBdr>
                <w:top w:val="nil"/>
                <w:left w:val="nil"/>
                <w:bottom w:val="nil"/>
                <w:right w:val="nil"/>
                <w:between w:val="nil"/>
              </w:pBdr>
              <w:rPr>
                <w:color w:val="000000"/>
              </w:rPr>
            </w:pPr>
            <w:r>
              <w:rPr>
                <w:color w:val="000000"/>
              </w:rPr>
              <w:t>Include a clear time frame for implementation:</w:t>
            </w:r>
          </w:p>
          <w:p w14:paraId="6E34A986" w14:textId="77777777" w:rsidR="00BB62F4" w:rsidRDefault="00000000">
            <w:pPr>
              <w:ind w:left="720"/>
            </w:pPr>
            <w:r>
              <w:rPr>
                <w:rFonts w:ascii="MS Gothic" w:eastAsia="MS Gothic" w:hAnsi="MS Gothic" w:cs="MS Gothic"/>
              </w:rPr>
              <w:t>☒</w:t>
            </w:r>
            <w:r>
              <w:t xml:space="preserve"> </w:t>
            </w:r>
            <w:r>
              <w:rPr>
                <w:shd w:val="clear" w:color="auto" w:fill="D9E2F3"/>
              </w:rPr>
              <w:t>Yes</w:t>
            </w:r>
            <w:r>
              <w:t xml:space="preserve">     </w:t>
            </w:r>
            <w:sdt>
              <w:sdtPr>
                <w:tag w:val="goog_rdk_45"/>
                <w:id w:val="-1806395378"/>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7558747C" w14:textId="77777777" w:rsidR="00BB62F4" w:rsidRDefault="00000000">
            <w:pPr>
              <w:numPr>
                <w:ilvl w:val="0"/>
                <w:numId w:val="6"/>
              </w:numPr>
              <w:pBdr>
                <w:top w:val="nil"/>
                <w:left w:val="nil"/>
                <w:bottom w:val="nil"/>
                <w:right w:val="nil"/>
                <w:between w:val="nil"/>
              </w:pBdr>
              <w:rPr>
                <w:color w:val="000000"/>
              </w:rPr>
            </w:pPr>
            <w:r>
              <w:rPr>
                <w:color w:val="000000"/>
              </w:rPr>
              <w:t>Address any barriers to comprehensive disclosure:</w:t>
            </w:r>
          </w:p>
          <w:p w14:paraId="5D79AE29" w14:textId="77777777" w:rsidR="00BB62F4" w:rsidRDefault="00000000">
            <w:pPr>
              <w:pBdr>
                <w:top w:val="nil"/>
                <w:left w:val="nil"/>
                <w:bottom w:val="nil"/>
                <w:right w:val="nil"/>
                <w:between w:val="nil"/>
              </w:pBdr>
              <w:ind w:left="720"/>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sdt>
              <w:sdtPr>
                <w:tag w:val="goog_rdk_46"/>
                <w:id w:val="-463014391"/>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 xml:space="preserve">No  </w:t>
            </w:r>
            <w:r>
              <w:rPr>
                <w:color w:val="000000"/>
              </w:rPr>
              <w:t xml:space="preserve"> </w:t>
            </w:r>
          </w:p>
          <w:p w14:paraId="201B3124" w14:textId="77777777" w:rsidR="00BB62F4" w:rsidRDefault="00000000">
            <w:pPr>
              <w:numPr>
                <w:ilvl w:val="0"/>
                <w:numId w:val="6"/>
              </w:numPr>
              <w:pBdr>
                <w:top w:val="nil"/>
                <w:left w:val="nil"/>
                <w:bottom w:val="nil"/>
                <w:right w:val="nil"/>
                <w:between w:val="nil"/>
              </w:pBdr>
              <w:rPr>
                <w:color w:val="000000"/>
              </w:rPr>
            </w:pPr>
            <w:r>
              <w:rPr>
                <w:color w:val="000000"/>
              </w:rPr>
              <w:t>Has been integrated into the work plans since 2020:</w:t>
            </w:r>
          </w:p>
          <w:p w14:paraId="4E38E82D" w14:textId="77777777" w:rsidR="00BB62F4" w:rsidRDefault="00000000">
            <w:pPr>
              <w:pBdr>
                <w:top w:val="nil"/>
                <w:left w:val="nil"/>
                <w:bottom w:val="nil"/>
                <w:right w:val="nil"/>
                <w:between w:val="nil"/>
              </w:pBdr>
              <w:ind w:left="720"/>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sdt>
              <w:sdtPr>
                <w:tag w:val="goog_rdk_47"/>
                <w:id w:val="-41229078"/>
              </w:sdtPr>
              <w:sdtContent>
                <w:r>
                  <w:rPr>
                    <w:rFonts w:ascii="Arial Unicode MS" w:eastAsia="Arial Unicode MS" w:hAnsi="Arial Unicode MS" w:cs="Arial Unicode MS"/>
                    <w:color w:val="000000"/>
                  </w:rPr>
                  <w:t>☐</w:t>
                </w:r>
              </w:sdtContent>
            </w:sdt>
            <w:r>
              <w:rPr>
                <w:color w:val="000000"/>
              </w:rPr>
              <w:t xml:space="preserve"> </w:t>
            </w:r>
            <w:r>
              <w:rPr>
                <w:color w:val="000000"/>
                <w:shd w:val="clear" w:color="auto" w:fill="D9E2F3"/>
              </w:rPr>
              <w:t xml:space="preserve">No  </w:t>
            </w:r>
            <w:r>
              <w:rPr>
                <w:color w:val="000000"/>
              </w:rPr>
              <w:t xml:space="preserve"> </w:t>
            </w:r>
          </w:p>
          <w:p w14:paraId="782FE5BA" w14:textId="77777777" w:rsidR="00BB62F4" w:rsidRDefault="00BB62F4">
            <w:pPr>
              <w:pBdr>
                <w:top w:val="nil"/>
                <w:left w:val="nil"/>
                <w:bottom w:val="nil"/>
                <w:right w:val="nil"/>
                <w:between w:val="nil"/>
              </w:pBdr>
              <w:ind w:left="720"/>
              <w:rPr>
                <w:color w:val="000000"/>
              </w:rPr>
            </w:pPr>
          </w:p>
          <w:p w14:paraId="608D198A"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the contract publication plan (source):</w:t>
            </w:r>
          </w:p>
          <w:p w14:paraId="20199E79" w14:textId="77777777" w:rsidR="00BB62F4" w:rsidRDefault="00000000">
            <w:pPr>
              <w:pBdr>
                <w:top w:val="nil"/>
                <w:left w:val="nil"/>
                <w:bottom w:val="nil"/>
                <w:right w:val="nil"/>
                <w:between w:val="nil"/>
              </w:pBdr>
              <w:shd w:val="clear" w:color="auto" w:fill="FFFFFF"/>
              <w:ind w:left="360"/>
              <w:rPr>
                <w:color w:val="0000FF"/>
                <w:u w:val="single"/>
                <w:shd w:val="clear" w:color="auto" w:fill="D9E2F3"/>
              </w:rPr>
            </w:pPr>
            <w:r>
              <w:rPr>
                <w:color w:val="000000"/>
              </w:rPr>
              <w:lastRenderedPageBreak/>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p>
          <w:p w14:paraId="11E14B8C" w14:textId="77777777" w:rsidR="00BB62F4" w:rsidRDefault="00000000">
            <w:pPr>
              <w:shd w:val="clear" w:color="auto" w:fill="FFFFFF"/>
              <w:ind w:left="360"/>
              <w:rPr>
                <w:rFonts w:ascii="Times New Roman" w:eastAsia="Times New Roman" w:hAnsi="Times New Roman" w:cs="Times New Roman"/>
                <w:color w:val="FF0000"/>
                <w:sz w:val="24"/>
                <w:szCs w:val="24"/>
              </w:rPr>
            </w:pPr>
            <w:hyperlink r:id="rId150">
              <w:r>
                <w:rPr>
                  <w:rFonts w:ascii="EB Garamond" w:eastAsia="EB Garamond" w:hAnsi="EB Garamond" w:cs="EB Garamond"/>
                  <w:color w:val="FF0000"/>
                  <w:u w:val="single"/>
                  <w:shd w:val="clear" w:color="auto" w:fill="D9E2F3"/>
                </w:rPr>
                <w:t>https://www.bing.com/ck/a?!&amp;&amp;p=c74065bd193b2f7f3dc0f27d08c3de52dcae57e856fdb8a1015d84afbf902c56JmltdHM9MTc3ODAyNTYwMA&amp;ptn=3&amp;ver=2&amp;hsh=4&amp;fclid=3d42f81e-349a-63be-2647-ed593504621e&amp;psq=Contract+Disclosure+NEITI&amp;u=a1aHR0cHM6Ly9uZWl0aS5nb3YubmcvY21zL25laXRpLXJhaXNlcy1jb21taXR0ZWUtb24tY29udHJhY3QtdHJhbnNwYXJlbmN5Lw</w:t>
              </w:r>
            </w:hyperlink>
          </w:p>
          <w:p w14:paraId="0B1BE732" w14:textId="77777777" w:rsidR="00BB62F4" w:rsidRDefault="00BB62F4">
            <w:pPr>
              <w:pBdr>
                <w:top w:val="nil"/>
                <w:left w:val="nil"/>
                <w:bottom w:val="nil"/>
                <w:right w:val="nil"/>
                <w:between w:val="nil"/>
              </w:pBdr>
              <w:shd w:val="clear" w:color="auto" w:fill="FFFFFF"/>
              <w:ind w:left="360"/>
              <w:rPr>
                <w:color w:val="000000"/>
              </w:rPr>
            </w:pPr>
          </w:p>
          <w:p w14:paraId="48811885" w14:textId="77777777" w:rsidR="00BB62F4" w:rsidRDefault="00000000">
            <w:pPr>
              <w:pBdr>
                <w:top w:val="nil"/>
                <w:left w:val="nil"/>
                <w:bottom w:val="nil"/>
                <w:right w:val="nil"/>
                <w:between w:val="nil"/>
              </w:pBdr>
              <w:shd w:val="clear" w:color="auto" w:fill="FFFFFF"/>
              <w:ind w:left="360"/>
              <w:rPr>
                <w:color w:val="000000"/>
              </w:rPr>
            </w:pPr>
            <w:r>
              <w:rPr>
                <w:color w:val="000000"/>
              </w:rPr>
              <w:t>AND / OR</w:t>
            </w:r>
          </w:p>
          <w:p w14:paraId="1B96785E" w14:textId="77777777" w:rsidR="00BB62F4" w:rsidRDefault="00000000">
            <w:pPr>
              <w:ind w:left="343"/>
            </w:pPr>
            <w:r>
              <w:t xml:space="preserve">Other sources: </w:t>
            </w:r>
            <w:r>
              <w:rPr>
                <w:shd w:val="clear" w:color="auto" w:fill="D9E2F3"/>
              </w:rPr>
              <w:t>EITI Report (year and page number), EITI website etc</w:t>
            </w:r>
          </w:p>
          <w:p w14:paraId="76945DA6" w14:textId="77777777" w:rsidR="00BB62F4" w:rsidRDefault="00BB62F4"/>
        </w:tc>
      </w:tr>
      <w:tr w:rsidR="00BB62F4" w14:paraId="35B935A8" w14:textId="77777777">
        <w:tc>
          <w:tcPr>
            <w:tcW w:w="1096" w:type="dxa"/>
            <w:shd w:val="clear" w:color="auto" w:fill="B4C6E7"/>
          </w:tcPr>
          <w:p w14:paraId="1E34675F" w14:textId="77777777" w:rsidR="00BB62F4" w:rsidRDefault="00000000">
            <w:pPr>
              <w:rPr>
                <w:b/>
                <w:bCs/>
              </w:rPr>
            </w:pPr>
            <w:r>
              <w:rPr>
                <w:b/>
                <w:bCs/>
              </w:rPr>
              <w:lastRenderedPageBreak/>
              <w:t>Required</w:t>
            </w:r>
          </w:p>
        </w:tc>
        <w:tc>
          <w:tcPr>
            <w:tcW w:w="7966" w:type="dxa"/>
            <w:shd w:val="clear" w:color="auto" w:fill="B4C6E7"/>
          </w:tcPr>
          <w:p w14:paraId="5B6E68D9" w14:textId="77777777" w:rsidR="00BB62F4" w:rsidRDefault="00000000">
            <w:pPr>
              <w:rPr>
                <w:b/>
                <w:bCs/>
              </w:rPr>
            </w:pPr>
            <w:r>
              <w:rPr>
                <w:b/>
                <w:bCs/>
              </w:rPr>
              <w:t>#2.4.</w:t>
            </w:r>
            <w:proofErr w:type="gramStart"/>
            <w:r>
              <w:rPr>
                <w:b/>
                <w:bCs/>
              </w:rPr>
              <w:t>c.i</w:t>
            </w:r>
            <w:proofErr w:type="gramEnd"/>
            <w:r>
              <w:rPr>
                <w:b/>
                <w:bCs/>
              </w:rPr>
              <w:t xml:space="preserve"> – Government’s policy on contract and license disclosures</w:t>
            </w:r>
          </w:p>
        </w:tc>
      </w:tr>
      <w:tr w:rsidR="00BB62F4" w14:paraId="5A5568E3" w14:textId="77777777">
        <w:tc>
          <w:tcPr>
            <w:tcW w:w="1096" w:type="dxa"/>
            <w:shd w:val="clear" w:color="auto" w:fill="FFFFFF"/>
          </w:tcPr>
          <w:p w14:paraId="1D4C4C4B" w14:textId="77777777" w:rsidR="00BB62F4" w:rsidRDefault="00000000">
            <w:r>
              <w:rPr>
                <w:i/>
                <w:iCs/>
              </w:rPr>
              <w:t>Availability</w:t>
            </w:r>
          </w:p>
        </w:tc>
        <w:tc>
          <w:tcPr>
            <w:tcW w:w="7966" w:type="dxa"/>
          </w:tcPr>
          <w:p w14:paraId="1317A00E" w14:textId="77777777" w:rsidR="00BB62F4" w:rsidRDefault="00000000">
            <w:pPr>
              <w:rPr>
                <w:b/>
                <w:bCs/>
              </w:rPr>
            </w:pPr>
            <w:r>
              <w:rPr>
                <w:b/>
                <w:bCs/>
                <w:color w:val="000000"/>
                <w:highlight w:val="white"/>
              </w:rPr>
              <w:t>Has the MSG documented</w:t>
            </w:r>
            <w:r>
              <w:rPr>
                <w:rFonts w:ascii="Arial" w:eastAsia="Arial" w:hAnsi="Arial" w:cs="Arial"/>
                <w:b/>
                <w:bCs/>
                <w:color w:val="000000"/>
                <w:highlight w:val="white"/>
              </w:rPr>
              <w:t xml:space="preserve"> </w:t>
            </w:r>
            <w:r>
              <w:rPr>
                <w:b/>
                <w:bCs/>
              </w:rPr>
              <w:t>the government’s policy on disclosure of contracts and licenses that govern the exploration and exploitation including:</w:t>
            </w:r>
          </w:p>
          <w:p w14:paraId="0C640584" w14:textId="77777777" w:rsidR="00BB62F4" w:rsidRDefault="00000000">
            <w:pPr>
              <w:numPr>
                <w:ilvl w:val="0"/>
                <w:numId w:val="6"/>
              </w:numPr>
              <w:pBdr>
                <w:top w:val="nil"/>
                <w:left w:val="nil"/>
                <w:bottom w:val="nil"/>
                <w:right w:val="nil"/>
                <w:between w:val="nil"/>
              </w:pBdr>
              <w:rPr>
                <w:color w:val="000000"/>
              </w:rPr>
            </w:pPr>
            <w:r>
              <w:rPr>
                <w:color w:val="000000"/>
              </w:rPr>
              <w:t>A description of whether legislation or government policy addresses the issue of disclosure of contracts and licenses?</w:t>
            </w:r>
          </w:p>
          <w:p w14:paraId="743456EA" w14:textId="77777777" w:rsidR="00BB62F4" w:rsidRDefault="00000000">
            <w:pPr>
              <w:ind w:left="720"/>
            </w:pPr>
            <w:r>
              <w:rPr>
                <w:rFonts w:ascii="MS Gothic" w:eastAsia="MS Gothic" w:hAnsi="MS Gothic" w:cs="MS Gothic"/>
              </w:rPr>
              <w:t>☒</w:t>
            </w:r>
            <w:r>
              <w:t xml:space="preserve"> </w:t>
            </w:r>
            <w:r>
              <w:rPr>
                <w:shd w:val="clear" w:color="auto" w:fill="D9E2F3"/>
              </w:rPr>
              <w:t>Yes</w:t>
            </w:r>
            <w:r>
              <w:t xml:space="preserve">     </w:t>
            </w:r>
            <w:sdt>
              <w:sdtPr>
                <w:tag w:val="goog_rdk_48"/>
                <w:id w:val="-1563277811"/>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16F75788" w14:textId="77777777" w:rsidR="00BB62F4" w:rsidRDefault="00000000">
            <w:pPr>
              <w:ind w:left="720"/>
            </w:pPr>
            <w:r>
              <w:rPr>
                <w:u w:val="single"/>
              </w:rPr>
              <w:t xml:space="preserve">If </w:t>
            </w:r>
            <w:r>
              <w:rPr>
                <w:b/>
                <w:bCs/>
                <w:u w:val="single"/>
              </w:rPr>
              <w:t>yes</w:t>
            </w:r>
            <w:r>
              <w:t>, does this include whether the legislation or government policy requires or prohibits disclosure of contracts?</w:t>
            </w:r>
          </w:p>
          <w:p w14:paraId="29E5AE16" w14:textId="77777777" w:rsidR="00BB62F4" w:rsidRDefault="00000000">
            <w:pPr>
              <w:ind w:left="1440"/>
            </w:pPr>
            <w:r>
              <w:rPr>
                <w:rFonts w:ascii="MS Gothic" w:eastAsia="MS Gothic" w:hAnsi="MS Gothic" w:cs="MS Gothic"/>
              </w:rPr>
              <w:t>☒</w:t>
            </w:r>
            <w:r>
              <w:t xml:space="preserve"> </w:t>
            </w:r>
            <w:r>
              <w:rPr>
                <w:shd w:val="clear" w:color="auto" w:fill="D9E2F3"/>
              </w:rPr>
              <w:t>Yes</w:t>
            </w:r>
            <w:r>
              <w:t xml:space="preserve">     </w:t>
            </w:r>
            <w:sdt>
              <w:sdtPr>
                <w:tag w:val="goog_rdk_49"/>
                <w:id w:val="1343065155"/>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6B5445E0" w14:textId="77777777" w:rsidR="00BB62F4" w:rsidRDefault="00000000">
            <w:pPr>
              <w:ind w:left="720"/>
            </w:pPr>
            <w:r>
              <w:rPr>
                <w:u w:val="single"/>
              </w:rPr>
              <w:t xml:space="preserve">If there is </w:t>
            </w:r>
            <w:r>
              <w:rPr>
                <w:b/>
                <w:bCs/>
                <w:u w:val="single"/>
              </w:rPr>
              <w:t>no</w:t>
            </w:r>
            <w:r>
              <w:rPr>
                <w:u w:val="single"/>
              </w:rPr>
              <w:t xml:space="preserve"> existing legislation</w:t>
            </w:r>
            <w:r>
              <w:t xml:space="preserve"> </w:t>
            </w:r>
          </w:p>
          <w:p w14:paraId="1B0991F2" w14:textId="77777777" w:rsidR="00BB62F4" w:rsidRDefault="00000000">
            <w:pPr>
              <w:numPr>
                <w:ilvl w:val="0"/>
                <w:numId w:val="7"/>
              </w:numPr>
              <w:pBdr>
                <w:top w:val="nil"/>
                <w:left w:val="nil"/>
                <w:bottom w:val="nil"/>
                <w:right w:val="nil"/>
                <w:between w:val="nil"/>
              </w:pBdr>
              <w:rPr>
                <w:color w:val="000000"/>
              </w:rPr>
            </w:pPr>
            <w:r>
              <w:rPr>
                <w:color w:val="000000"/>
              </w:rPr>
              <w:t>Does the description include an explanation of where the government policy is embodied?</w:t>
            </w:r>
          </w:p>
          <w:p w14:paraId="5930B639" w14:textId="77777777" w:rsidR="00BB62F4" w:rsidRDefault="00000000">
            <w:pPr>
              <w:ind w:left="1440"/>
            </w:pPr>
            <w:r>
              <w:rPr>
                <w:rFonts w:ascii="MS Gothic" w:eastAsia="MS Gothic" w:hAnsi="MS Gothic" w:cs="MS Gothic"/>
              </w:rPr>
              <w:t>☒</w:t>
            </w:r>
            <w:r>
              <w:t xml:space="preserve"> </w:t>
            </w:r>
            <w:r>
              <w:rPr>
                <w:shd w:val="clear" w:color="auto" w:fill="D9E2F3"/>
              </w:rPr>
              <w:t>Yes</w:t>
            </w:r>
            <w:r>
              <w:t xml:space="preserve">     </w:t>
            </w:r>
            <w:sdt>
              <w:sdtPr>
                <w:tag w:val="goog_rdk_50"/>
                <w:id w:val="333508128"/>
              </w:sdtPr>
              <w:sdtContent>
                <w:r>
                  <w:rPr>
                    <w:rFonts w:ascii="Arial Unicode MS" w:eastAsia="Arial Unicode MS" w:hAnsi="Arial Unicode MS" w:cs="Arial Unicode MS"/>
                  </w:rPr>
                  <w:t>☐</w:t>
                </w:r>
              </w:sdtContent>
            </w:sdt>
            <w:r>
              <w:t xml:space="preserve"> </w:t>
            </w:r>
            <w:r>
              <w:rPr>
                <w:shd w:val="clear" w:color="auto" w:fill="D9E2F3"/>
              </w:rPr>
              <w:t xml:space="preserve">No   </w:t>
            </w:r>
          </w:p>
          <w:p w14:paraId="3CCB8339" w14:textId="77777777" w:rsidR="00BB62F4" w:rsidRDefault="00000000">
            <w:pPr>
              <w:numPr>
                <w:ilvl w:val="0"/>
                <w:numId w:val="7"/>
              </w:numPr>
              <w:pBdr>
                <w:top w:val="nil"/>
                <w:left w:val="nil"/>
                <w:bottom w:val="nil"/>
                <w:right w:val="nil"/>
                <w:between w:val="nil"/>
              </w:pBdr>
              <w:rPr>
                <w:color w:val="000000"/>
              </w:rPr>
            </w:pPr>
            <w:r>
              <w:rPr>
                <w:color w:val="000000"/>
              </w:rPr>
              <w:t>Has the MSG documented its discussion on what constitutes government policy on disclosure of contracts and licenses?</w:t>
            </w:r>
          </w:p>
          <w:p w14:paraId="6675E55E" w14:textId="77777777" w:rsidR="00BB62F4" w:rsidRDefault="00000000">
            <w:pPr>
              <w:ind w:left="1440"/>
            </w:pPr>
            <w:r>
              <w:rPr>
                <w:rFonts w:ascii="MS Gothic" w:eastAsia="MS Gothic" w:hAnsi="MS Gothic" w:cs="MS Gothic"/>
              </w:rPr>
              <w:t>☒</w:t>
            </w:r>
            <w:r>
              <w:t xml:space="preserve"> </w:t>
            </w:r>
            <w:r>
              <w:rPr>
                <w:shd w:val="clear" w:color="auto" w:fill="D9E2F3"/>
              </w:rPr>
              <w:t>Yes</w:t>
            </w:r>
            <w:r>
              <w:t xml:space="preserve">     </w:t>
            </w:r>
            <w:sdt>
              <w:sdtPr>
                <w:tag w:val="goog_rdk_51"/>
                <w:id w:val="-219483849"/>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53ED21D0" w14:textId="77777777" w:rsidR="00BB62F4" w:rsidRDefault="00000000">
            <w:pPr>
              <w:numPr>
                <w:ilvl w:val="0"/>
                <w:numId w:val="6"/>
              </w:numPr>
              <w:pBdr>
                <w:top w:val="nil"/>
                <w:left w:val="nil"/>
                <w:bottom w:val="nil"/>
                <w:right w:val="nil"/>
                <w:between w:val="nil"/>
              </w:pBdr>
              <w:rPr>
                <w:color w:val="000000"/>
              </w:rPr>
            </w:pPr>
            <w:r>
              <w:rPr>
                <w:color w:val="000000"/>
              </w:rPr>
              <w:t>Information on any reforms relevant to disclosure of contracts and licenses planned or underway:</w:t>
            </w:r>
          </w:p>
          <w:p w14:paraId="4B36FA29" w14:textId="77777777" w:rsidR="00BB62F4" w:rsidRDefault="00000000">
            <w:pPr>
              <w:ind w:left="720"/>
            </w:pPr>
            <w:r>
              <w:t xml:space="preserve"> </w:t>
            </w:r>
            <w:r>
              <w:rPr>
                <w:rFonts w:ascii="MS Gothic" w:eastAsia="MS Gothic" w:hAnsi="MS Gothic" w:cs="MS Gothic"/>
              </w:rPr>
              <w:t>☒</w:t>
            </w:r>
            <w:r>
              <w:t xml:space="preserve"> </w:t>
            </w:r>
            <w:r>
              <w:rPr>
                <w:shd w:val="clear" w:color="auto" w:fill="D9E2F3"/>
              </w:rPr>
              <w:t>Yes</w:t>
            </w:r>
            <w:r>
              <w:t xml:space="preserve">     </w:t>
            </w:r>
            <w:sdt>
              <w:sdtPr>
                <w:tag w:val="goog_rdk_52"/>
                <w:id w:val="-197377149"/>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1727C952" w14:textId="77777777" w:rsidR="00BB62F4" w:rsidRDefault="00000000">
            <w:pPr>
              <w:pBdr>
                <w:top w:val="nil"/>
                <w:left w:val="nil"/>
                <w:bottom w:val="nil"/>
                <w:right w:val="nil"/>
                <w:between w:val="nil"/>
              </w:pBdr>
              <w:shd w:val="clear" w:color="auto" w:fill="D9E2F3"/>
              <w:ind w:left="762"/>
              <w:rPr>
                <w:rFonts w:ascii="Times New Roman" w:eastAsia="Times New Roman" w:hAnsi="Times New Roman" w:cs="Times New Roman"/>
                <w:color w:val="000000"/>
                <w:sz w:val="24"/>
                <w:szCs w:val="24"/>
              </w:rPr>
            </w:pPr>
            <w:r>
              <w:rPr>
                <w:color w:val="000000"/>
              </w:rPr>
              <w:t xml:space="preserve">Explain:  </w:t>
            </w:r>
            <w:r>
              <w:rPr>
                <w:rFonts w:ascii="EB Garamond" w:eastAsia="EB Garamond" w:hAnsi="EB Garamond" w:cs="EB Garamond"/>
                <w:color w:val="000000"/>
              </w:rPr>
              <w:t xml:space="preserve">Explain:  Yes,  the Nigeria Extractive Industries Transparency Initiative (NEITI) National Stakeholder Working Group known as the MSG documented reforms, progress, and challenges regarding oil  and gas contract and license disclosure in 2023, particularly in the context of the </w:t>
            </w:r>
            <w:hyperlink r:id="rId151">
              <w:r>
                <w:rPr>
                  <w:rFonts w:ascii="EB Garamond" w:eastAsia="EB Garamond" w:hAnsi="EB Garamond" w:cs="EB Garamond"/>
                  <w:color w:val="1155CC"/>
                  <w:u w:val="single"/>
                </w:rPr>
                <w:t>https://www.opengovpartnership.org/stories/contract-transparency-and-environmental-disclosure-opportunities-at-the-ogp-paris-summit/</w:t>
              </w:r>
            </w:hyperlink>
            <w:r>
              <w:rPr>
                <w:rFonts w:ascii="EB Garamond" w:eastAsia="EB Garamond" w:hAnsi="EB Garamond" w:cs="EB Garamond"/>
                <w:color w:val="000000"/>
              </w:rPr>
              <w:t xml:space="preserve">, </w:t>
            </w:r>
            <w:hyperlink r:id="rId152">
              <w:r>
                <w:rPr>
                  <w:rFonts w:ascii="EB Garamond" w:eastAsia="EB Garamond" w:hAnsi="EB Garamond" w:cs="EB Garamond"/>
                  <w:color w:val="0000FF"/>
                  <w:u w:val="single"/>
                </w:rPr>
                <w:t xml:space="preserve">EITI Validation report finalized in </w:t>
              </w:r>
              <w:proofErr w:type="spellStart"/>
              <w:r>
                <w:rPr>
                  <w:rFonts w:ascii="EB Garamond" w:eastAsia="EB Garamond" w:hAnsi="EB Garamond" w:cs="EB Garamond"/>
                  <w:color w:val="0000FF"/>
                  <w:u w:val="single"/>
                </w:rPr>
                <w:t>june</w:t>
              </w:r>
              <w:proofErr w:type="spellEnd"/>
              <w:r>
                <w:rPr>
                  <w:rFonts w:ascii="EB Garamond" w:eastAsia="EB Garamond" w:hAnsi="EB Garamond" w:cs="EB Garamond"/>
                  <w:color w:val="0000FF"/>
                  <w:u w:val="single"/>
                </w:rPr>
                <w:t xml:space="preserve"> 2023</w:t>
              </w:r>
            </w:hyperlink>
            <w:r>
              <w:rPr>
                <w:rFonts w:ascii="EB Garamond" w:eastAsia="EB Garamond" w:hAnsi="EB Garamond" w:cs="EB Garamond"/>
                <w:color w:val="000000"/>
              </w:rPr>
              <w:t xml:space="preserve"> and </w:t>
            </w:r>
            <w:hyperlink r:id="rId153">
              <w:r>
                <w:rPr>
                  <w:rFonts w:ascii="EB Garamond" w:eastAsia="EB Garamond" w:hAnsi="EB Garamond" w:cs="EB Garamond"/>
                  <w:color w:val="0000FF"/>
                  <w:u w:val="single"/>
                </w:rPr>
                <w:t>NSWG Review-CT (NEITI)</w:t>
              </w:r>
            </w:hyperlink>
            <w:r>
              <w:rPr>
                <w:rFonts w:ascii="EB Garamond" w:eastAsia="EB Garamond" w:hAnsi="EB Garamond" w:cs="EB Garamond"/>
                <w:color w:val="000000"/>
              </w:rPr>
              <w:t xml:space="preserve"> which reveals that the Contract Transparency Implementation Committee (working with the NSWG) found that not all contracts in the oil and gas sector from 2021 to date have been fully disclosed.</w:t>
            </w:r>
          </w:p>
          <w:p w14:paraId="6C62FAC5" w14:textId="77777777" w:rsidR="00BB62F4" w:rsidRDefault="00BB62F4">
            <w:pPr>
              <w:pBdr>
                <w:top w:val="nil"/>
                <w:left w:val="nil"/>
                <w:bottom w:val="nil"/>
                <w:right w:val="nil"/>
                <w:between w:val="nil"/>
              </w:pBdr>
              <w:shd w:val="clear" w:color="auto" w:fill="D9E2F3"/>
              <w:ind w:left="762"/>
              <w:rPr>
                <w:color w:val="000000"/>
              </w:rPr>
            </w:pPr>
          </w:p>
          <w:p w14:paraId="2C3B494F" w14:textId="77777777" w:rsidR="00BB62F4" w:rsidRDefault="00BB62F4">
            <w:pPr>
              <w:pBdr>
                <w:top w:val="nil"/>
                <w:left w:val="nil"/>
                <w:bottom w:val="nil"/>
                <w:right w:val="nil"/>
                <w:between w:val="nil"/>
              </w:pBdr>
              <w:shd w:val="clear" w:color="auto" w:fill="FFFFFF"/>
              <w:ind w:left="360"/>
              <w:rPr>
                <w:b/>
                <w:bCs/>
                <w:i/>
                <w:iCs/>
                <w:color w:val="000000"/>
              </w:rPr>
            </w:pPr>
          </w:p>
          <w:p w14:paraId="79782B58"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the government’s policy on contract disclosure:</w:t>
            </w:r>
          </w:p>
          <w:p w14:paraId="1223D265" w14:textId="77777777" w:rsidR="00BB62F4" w:rsidRDefault="00000000">
            <w:pPr>
              <w:pBdr>
                <w:top w:val="nil"/>
                <w:left w:val="nil"/>
                <w:bottom w:val="nil"/>
                <w:right w:val="nil"/>
                <w:between w:val="nil"/>
              </w:pBdr>
              <w:shd w:val="clear" w:color="auto" w:fill="FFFFFF"/>
              <w:ind w:left="360"/>
              <w:rPr>
                <w:color w:val="0000FF"/>
                <w:u w:val="single"/>
                <w:shd w:val="clear" w:color="auto" w:fill="D9E2F3"/>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p>
          <w:p w14:paraId="034B3740" w14:textId="77777777" w:rsidR="00BB62F4" w:rsidRDefault="00000000">
            <w:pPr>
              <w:shd w:val="clear" w:color="auto" w:fill="FFFFFF"/>
              <w:spacing w:after="0"/>
              <w:ind w:left="360"/>
              <w:rPr>
                <w:rFonts w:ascii="Times New Roman" w:eastAsia="Times New Roman" w:hAnsi="Times New Roman" w:cs="Times New Roman"/>
                <w:sz w:val="24"/>
                <w:szCs w:val="24"/>
              </w:rPr>
            </w:pPr>
            <w:hyperlink r:id="rId154">
              <w:r>
                <w:rPr>
                  <w:rFonts w:ascii="EB Garamond" w:eastAsia="EB Garamond" w:hAnsi="EB Garamond" w:cs="EB Garamond"/>
                  <w:color w:val="1155CC"/>
                  <w:u w:val="single"/>
                </w:rPr>
                <w:t>https://www.opengovpartnership.org/stories/contract-transparency-and-environmental-disclosure-opportunities-at-the-ogp-paris-summit/</w:t>
              </w:r>
            </w:hyperlink>
            <w:r>
              <w:rPr>
                <w:rFonts w:ascii="EB Garamond" w:eastAsia="EB Garamond" w:hAnsi="EB Garamond" w:cs="EB Garamond"/>
                <w:color w:val="000000"/>
              </w:rPr>
              <w:t> </w:t>
            </w:r>
          </w:p>
          <w:p w14:paraId="77933B75" w14:textId="77777777" w:rsidR="00BB62F4" w:rsidRDefault="00000000">
            <w:pPr>
              <w:shd w:val="clear" w:color="auto" w:fill="FFFFFF"/>
              <w:spacing w:before="0" w:after="0"/>
              <w:ind w:left="360"/>
              <w:rPr>
                <w:rFonts w:ascii="Times New Roman" w:eastAsia="Times New Roman" w:hAnsi="Times New Roman" w:cs="Times New Roman"/>
                <w:sz w:val="24"/>
                <w:szCs w:val="24"/>
              </w:rPr>
            </w:pPr>
            <w:r>
              <w:rPr>
                <w:rFonts w:ascii="EB Garamond" w:eastAsia="EB Garamond" w:hAnsi="EB Garamond" w:cs="EB Garamond"/>
                <w:color w:val="000000"/>
                <w:shd w:val="clear" w:color="auto" w:fill="D9E2F3"/>
              </w:rPr>
              <w:t>In Nigeria, the primary policy framework for contract disclosure in the oil and gas sector as of 2023 is anchored in the Petroleum Industry Act (PIA) 2021, which mandates the publication of the full text of all existing and new petroleum contracts, licenses, and leases including amendments and side letters with NNPC to be published on the NUPRC website (Section 83(3) of the PIA 2021. This is in addition supported by the Nigeria Extractive Industries Transparency Initiative (NEITI) and the Open Government Partnership (OGP). The primary regulatory frameworks 2023 are;</w:t>
            </w:r>
          </w:p>
          <w:p w14:paraId="665CF3F6" w14:textId="77777777" w:rsidR="00BB62F4" w:rsidRDefault="00000000">
            <w:pPr>
              <w:numPr>
                <w:ilvl w:val="0"/>
                <w:numId w:val="44"/>
              </w:numPr>
              <w:shd w:val="clear" w:color="auto" w:fill="FFFFFF"/>
              <w:spacing w:before="0" w:after="0"/>
              <w:rPr>
                <w:rFonts w:ascii="EB Garamond" w:eastAsia="EB Garamond" w:hAnsi="EB Garamond" w:cs="EB Garamond"/>
                <w:color w:val="000000"/>
              </w:rPr>
            </w:pPr>
            <w:r>
              <w:rPr>
                <w:rFonts w:ascii="EB Garamond" w:eastAsia="EB Garamond" w:hAnsi="EB Garamond" w:cs="EB Garamond"/>
                <w:color w:val="000000"/>
              </w:rPr>
              <w:t>Petroleum Industry Act (PIA) 2021.</w:t>
            </w:r>
          </w:p>
          <w:p w14:paraId="170809E6" w14:textId="77777777" w:rsidR="00BB62F4" w:rsidRDefault="00000000">
            <w:pPr>
              <w:numPr>
                <w:ilvl w:val="0"/>
                <w:numId w:val="44"/>
              </w:numPr>
              <w:shd w:val="clear" w:color="auto" w:fill="FFFFFF"/>
              <w:spacing w:before="0" w:after="0"/>
              <w:rPr>
                <w:rFonts w:ascii="EB Garamond" w:eastAsia="EB Garamond" w:hAnsi="EB Garamond" w:cs="EB Garamond"/>
                <w:color w:val="000000"/>
              </w:rPr>
            </w:pPr>
            <w:r>
              <w:rPr>
                <w:rFonts w:ascii="EB Garamond" w:eastAsia="EB Garamond" w:hAnsi="EB Garamond" w:cs="EB Garamond"/>
                <w:color w:val="000000"/>
              </w:rPr>
              <w:t>NEITI Contract Transparency Implementation Plan </w:t>
            </w:r>
          </w:p>
          <w:p w14:paraId="2A7074C1" w14:textId="77777777" w:rsidR="00BB62F4" w:rsidRDefault="00000000">
            <w:pPr>
              <w:numPr>
                <w:ilvl w:val="0"/>
                <w:numId w:val="44"/>
              </w:numPr>
              <w:shd w:val="clear" w:color="auto" w:fill="FFFFFF"/>
              <w:spacing w:before="0" w:after="0"/>
              <w:rPr>
                <w:rFonts w:ascii="EB Garamond" w:eastAsia="EB Garamond" w:hAnsi="EB Garamond" w:cs="EB Garamond"/>
                <w:color w:val="000000"/>
              </w:rPr>
            </w:pPr>
            <w:r>
              <w:rPr>
                <w:rFonts w:ascii="EB Garamond" w:eastAsia="EB Garamond" w:hAnsi="EB Garamond" w:cs="EB Garamond"/>
                <w:color w:val="000000"/>
              </w:rPr>
              <w:t>OGP National Action Plan (2023-2024)</w:t>
            </w:r>
          </w:p>
          <w:p w14:paraId="373BCC6E" w14:textId="77777777" w:rsidR="00BB62F4" w:rsidRDefault="00000000">
            <w:pPr>
              <w:numPr>
                <w:ilvl w:val="0"/>
                <w:numId w:val="44"/>
              </w:numPr>
              <w:shd w:val="clear" w:color="auto" w:fill="FFFFFF"/>
              <w:spacing w:before="0"/>
              <w:rPr>
                <w:rFonts w:ascii="EB Garamond" w:eastAsia="EB Garamond" w:hAnsi="EB Garamond" w:cs="EB Garamond"/>
                <w:color w:val="000000"/>
              </w:rPr>
            </w:pPr>
            <w:r>
              <w:rPr>
                <w:rFonts w:ascii="EB Garamond" w:eastAsia="EB Garamond" w:hAnsi="EB Garamond" w:cs="EB Garamond"/>
                <w:color w:val="000000"/>
              </w:rPr>
              <w:t>Upstream Petroleum Sector Code of Conduct and Compliance Regulations 2023.</w:t>
            </w:r>
          </w:p>
          <w:p w14:paraId="0C1E7A45" w14:textId="77777777" w:rsidR="00BB62F4" w:rsidRDefault="00BB62F4">
            <w:pPr>
              <w:pBdr>
                <w:top w:val="nil"/>
                <w:left w:val="nil"/>
                <w:bottom w:val="nil"/>
                <w:right w:val="nil"/>
                <w:between w:val="nil"/>
              </w:pBdr>
              <w:shd w:val="clear" w:color="auto" w:fill="FFFFFF"/>
              <w:ind w:left="360"/>
              <w:rPr>
                <w:color w:val="000000"/>
              </w:rPr>
            </w:pPr>
          </w:p>
          <w:p w14:paraId="08456889" w14:textId="77777777" w:rsidR="00BB62F4" w:rsidRDefault="00000000">
            <w:pPr>
              <w:pBdr>
                <w:top w:val="nil"/>
                <w:left w:val="nil"/>
                <w:bottom w:val="nil"/>
                <w:right w:val="nil"/>
                <w:between w:val="nil"/>
              </w:pBdr>
              <w:shd w:val="clear" w:color="auto" w:fill="FFFFFF"/>
              <w:ind w:left="360"/>
              <w:rPr>
                <w:color w:val="000000"/>
              </w:rPr>
            </w:pPr>
            <w:r>
              <w:rPr>
                <w:color w:val="000000"/>
              </w:rPr>
              <w:t>AND / OR</w:t>
            </w:r>
          </w:p>
          <w:p w14:paraId="69C7FD79" w14:textId="77777777" w:rsidR="00BB62F4" w:rsidRDefault="00000000">
            <w:pPr>
              <w:ind w:left="343"/>
            </w:pPr>
            <w:r>
              <w:t xml:space="preserve">Other sources: </w:t>
            </w:r>
            <w:r>
              <w:rPr>
                <w:shd w:val="clear" w:color="auto" w:fill="D9E2F3"/>
              </w:rPr>
              <w:t>EITI Report (year and page number), EITI website etc</w:t>
            </w:r>
          </w:p>
          <w:p w14:paraId="38540384" w14:textId="77777777" w:rsidR="00BB62F4" w:rsidRDefault="00BB62F4">
            <w:pPr>
              <w:pBdr>
                <w:top w:val="nil"/>
                <w:left w:val="nil"/>
                <w:bottom w:val="nil"/>
                <w:right w:val="nil"/>
                <w:between w:val="nil"/>
              </w:pBdr>
              <w:shd w:val="clear" w:color="auto" w:fill="FFFFFF"/>
              <w:ind w:left="360"/>
              <w:rPr>
                <w:b/>
                <w:bCs/>
                <w:i/>
                <w:iCs/>
                <w:color w:val="000000"/>
              </w:rPr>
            </w:pPr>
          </w:p>
          <w:p w14:paraId="0A17C2C3" w14:textId="77777777" w:rsidR="00BB62F4" w:rsidRDefault="00000000">
            <w:pPr>
              <w:pBdr>
                <w:top w:val="nil"/>
                <w:left w:val="nil"/>
                <w:bottom w:val="nil"/>
                <w:right w:val="nil"/>
                <w:between w:val="nil"/>
              </w:pBdr>
              <w:shd w:val="clear" w:color="auto" w:fill="FFFFFF"/>
              <w:ind w:left="360"/>
              <w:rPr>
                <w:b/>
                <w:bCs/>
                <w:i/>
                <w:iCs/>
                <w:color w:val="000000"/>
              </w:rPr>
            </w:pPr>
            <w:r>
              <w:rPr>
                <w:b/>
                <w:bCs/>
                <w:i/>
                <w:iCs/>
                <w:color w:val="000000"/>
              </w:rPr>
              <w:t>Where to find information on any reforms relevant to disclosure of contracts and licenses, planned or underway:</w:t>
            </w:r>
          </w:p>
          <w:p w14:paraId="4C976438" w14:textId="77777777" w:rsidR="00BB62F4" w:rsidRDefault="00000000">
            <w:pPr>
              <w:pBdr>
                <w:top w:val="nil"/>
                <w:left w:val="nil"/>
                <w:bottom w:val="nil"/>
                <w:right w:val="nil"/>
                <w:between w:val="nil"/>
              </w:pBdr>
              <w:shd w:val="clear" w:color="auto" w:fill="FFFFFF"/>
              <w:ind w:left="360"/>
              <w:rPr>
                <w:color w:val="0000FF"/>
                <w:u w:val="single"/>
                <w:shd w:val="clear" w:color="auto" w:fill="D9E2F3"/>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p>
          <w:p w14:paraId="66EC86B7" w14:textId="77777777" w:rsidR="00BB62F4" w:rsidRDefault="00000000">
            <w:pPr>
              <w:shd w:val="clear" w:color="auto" w:fill="FFFFFF"/>
              <w:spacing w:after="0"/>
              <w:ind w:left="360"/>
              <w:rPr>
                <w:rFonts w:ascii="Times New Roman" w:eastAsia="Times New Roman" w:hAnsi="Times New Roman" w:cs="Times New Roman"/>
                <w:sz w:val="24"/>
                <w:szCs w:val="24"/>
              </w:rPr>
            </w:pPr>
            <w:hyperlink r:id="rId155">
              <w:r>
                <w:rPr>
                  <w:rFonts w:ascii="EB Garamond" w:eastAsia="EB Garamond" w:hAnsi="EB Garamond" w:cs="EB Garamond"/>
                  <w:color w:val="1155CC"/>
                  <w:u w:val="single"/>
                </w:rPr>
                <w:t>https://www.opengovpartnership.org/stories/contract-transparency-and-environmental-disclosure-opportunities-at-the-ogp-paris-summit/</w:t>
              </w:r>
            </w:hyperlink>
            <w:r>
              <w:rPr>
                <w:rFonts w:ascii="EB Garamond" w:eastAsia="EB Garamond" w:hAnsi="EB Garamond" w:cs="EB Garamond"/>
                <w:color w:val="000000"/>
              </w:rPr>
              <w:t> </w:t>
            </w:r>
          </w:p>
          <w:p w14:paraId="1AF91A89" w14:textId="77777777" w:rsidR="00BB62F4" w:rsidRDefault="00000000">
            <w:pPr>
              <w:shd w:val="clear" w:color="auto" w:fill="FFFFFF"/>
              <w:spacing w:before="0"/>
              <w:ind w:left="360"/>
              <w:rPr>
                <w:rFonts w:ascii="Times New Roman" w:eastAsia="Times New Roman" w:hAnsi="Times New Roman" w:cs="Times New Roman"/>
                <w:sz w:val="24"/>
                <w:szCs w:val="24"/>
              </w:rPr>
            </w:pPr>
            <w:r>
              <w:rPr>
                <w:rFonts w:ascii="EB Garamond" w:eastAsia="EB Garamond" w:hAnsi="EB Garamond" w:cs="EB Garamond"/>
                <w:color w:val="000000"/>
                <w:shd w:val="clear" w:color="auto" w:fill="D9E2F3"/>
              </w:rPr>
              <w:t>The information is currently decentralized across several official government portals as follows</w:t>
            </w:r>
            <w:r>
              <w:rPr>
                <w:rFonts w:ascii="EB Garamond" w:eastAsia="EB Garamond" w:hAnsi="EB Garamond" w:cs="EB Garamond"/>
                <w:color w:val="0000FF"/>
                <w:u w:val="single"/>
                <w:shd w:val="clear" w:color="auto" w:fill="D9E2F3"/>
              </w:rPr>
              <w:t>;</w:t>
            </w:r>
          </w:p>
          <w:p w14:paraId="617BBD81" w14:textId="77777777" w:rsidR="00BB62F4" w:rsidRDefault="00000000">
            <w:pPr>
              <w:numPr>
                <w:ilvl w:val="0"/>
                <w:numId w:val="45"/>
              </w:numPr>
              <w:shd w:val="clear" w:color="auto" w:fill="FFFFFF"/>
              <w:spacing w:after="0"/>
              <w:ind w:left="1080"/>
              <w:rPr>
                <w:rFonts w:ascii="EB Garamond" w:eastAsia="EB Garamond" w:hAnsi="EB Garamond" w:cs="EB Garamond"/>
                <w:color w:val="000000"/>
              </w:rPr>
            </w:pPr>
            <w:r>
              <w:rPr>
                <w:rFonts w:ascii="EB Garamond" w:eastAsia="EB Garamond" w:hAnsi="EB Garamond" w:cs="EB Garamond"/>
                <w:color w:val="000000"/>
              </w:rPr>
              <w:t>NUPRC Website: -Houses the public register of licenses and leases as of late 2023.</w:t>
            </w:r>
          </w:p>
          <w:p w14:paraId="6321DF7E" w14:textId="77777777" w:rsidR="00BB62F4" w:rsidRDefault="00000000">
            <w:pPr>
              <w:numPr>
                <w:ilvl w:val="0"/>
                <w:numId w:val="45"/>
              </w:numPr>
              <w:shd w:val="clear" w:color="auto" w:fill="FFFFFF"/>
              <w:spacing w:before="0" w:after="0"/>
              <w:ind w:left="1080"/>
              <w:rPr>
                <w:rFonts w:ascii="EB Garamond" w:eastAsia="EB Garamond" w:hAnsi="EB Garamond" w:cs="EB Garamond"/>
                <w:color w:val="000000"/>
              </w:rPr>
            </w:pPr>
            <w:r>
              <w:rPr>
                <w:rFonts w:ascii="EB Garamond" w:eastAsia="EB Garamond" w:hAnsi="EB Garamond" w:cs="EB Garamond"/>
                <w:color w:val="000000"/>
              </w:rPr>
              <w:t>NNPC Ltd Website: - Provides monthly disclosures on crude oil liftings, gas production, and utilization data, details of some contracts from 2021 onwards are also available.</w:t>
            </w:r>
          </w:p>
          <w:p w14:paraId="2587D89D" w14:textId="77777777" w:rsidR="00BB62F4" w:rsidRDefault="00000000">
            <w:pPr>
              <w:numPr>
                <w:ilvl w:val="0"/>
                <w:numId w:val="45"/>
              </w:numPr>
              <w:shd w:val="clear" w:color="auto" w:fill="FFFFFF"/>
              <w:spacing w:before="0" w:after="0"/>
              <w:ind w:left="1080"/>
              <w:rPr>
                <w:rFonts w:ascii="EB Garamond" w:eastAsia="EB Garamond" w:hAnsi="EB Garamond" w:cs="EB Garamond"/>
                <w:color w:val="000000"/>
              </w:rPr>
            </w:pPr>
            <w:r>
              <w:rPr>
                <w:rFonts w:ascii="EB Garamond" w:eastAsia="EB Garamond" w:hAnsi="EB Garamond" w:cs="EB Garamond"/>
                <w:color w:val="000000"/>
              </w:rPr>
              <w:t>NEITI Website: - Contains Contract Transparency Implementation Plan and Policy briefs on alignment with the 2023 EITI Standards.</w:t>
            </w:r>
          </w:p>
          <w:p w14:paraId="678DD1D4" w14:textId="77777777" w:rsidR="00BB62F4" w:rsidRDefault="00000000">
            <w:pPr>
              <w:numPr>
                <w:ilvl w:val="0"/>
                <w:numId w:val="45"/>
              </w:numPr>
              <w:shd w:val="clear" w:color="auto" w:fill="FFFFFF"/>
              <w:spacing w:before="0"/>
              <w:ind w:left="1080"/>
              <w:rPr>
                <w:rFonts w:ascii="EB Garamond" w:eastAsia="EB Garamond" w:hAnsi="EB Garamond" w:cs="EB Garamond"/>
                <w:color w:val="000000"/>
              </w:rPr>
            </w:pPr>
            <w:r>
              <w:rPr>
                <w:rFonts w:ascii="EB Garamond" w:eastAsia="EB Garamond" w:hAnsi="EB Garamond" w:cs="EB Garamond"/>
                <w:color w:val="000000"/>
              </w:rPr>
              <w:t xml:space="preserve">OGP Nigeria portal: -Details of specific milestones for the Public Disclosure of Extractive Sector </w:t>
            </w:r>
            <w:proofErr w:type="gramStart"/>
            <w:r>
              <w:rPr>
                <w:rFonts w:ascii="EB Garamond" w:eastAsia="EB Garamond" w:hAnsi="EB Garamond" w:cs="EB Garamond"/>
                <w:color w:val="000000"/>
              </w:rPr>
              <w:t>Information(</w:t>
            </w:r>
            <w:proofErr w:type="gramEnd"/>
            <w:r>
              <w:rPr>
                <w:rFonts w:ascii="EB Garamond" w:eastAsia="EB Garamond" w:hAnsi="EB Garamond" w:cs="EB Garamond"/>
                <w:color w:val="000000"/>
              </w:rPr>
              <w:t>NG0034) for the 2023-2024 period.</w:t>
            </w:r>
          </w:p>
          <w:p w14:paraId="46B7A734" w14:textId="77777777" w:rsidR="00BB62F4" w:rsidRDefault="00BB62F4">
            <w:pPr>
              <w:pBdr>
                <w:top w:val="nil"/>
                <w:left w:val="nil"/>
                <w:bottom w:val="nil"/>
                <w:right w:val="nil"/>
                <w:between w:val="nil"/>
              </w:pBdr>
              <w:shd w:val="clear" w:color="auto" w:fill="FFFFFF"/>
              <w:ind w:left="360"/>
              <w:rPr>
                <w:color w:val="000000"/>
              </w:rPr>
            </w:pPr>
          </w:p>
          <w:p w14:paraId="0E965308" w14:textId="77777777" w:rsidR="00BB62F4" w:rsidRDefault="00000000">
            <w:pPr>
              <w:pBdr>
                <w:top w:val="nil"/>
                <w:left w:val="nil"/>
                <w:bottom w:val="nil"/>
                <w:right w:val="nil"/>
                <w:between w:val="nil"/>
              </w:pBdr>
              <w:shd w:val="clear" w:color="auto" w:fill="FFFFFF"/>
              <w:ind w:left="360"/>
              <w:rPr>
                <w:color w:val="000000"/>
              </w:rPr>
            </w:pPr>
            <w:r>
              <w:rPr>
                <w:color w:val="000000"/>
              </w:rPr>
              <w:t>AND / OR</w:t>
            </w:r>
          </w:p>
          <w:p w14:paraId="37FC04EA" w14:textId="77777777" w:rsidR="00BB62F4" w:rsidRDefault="00000000">
            <w:pPr>
              <w:ind w:left="343"/>
            </w:pPr>
            <w:r>
              <w:t xml:space="preserve">Other sources: </w:t>
            </w:r>
            <w:r>
              <w:rPr>
                <w:shd w:val="clear" w:color="auto" w:fill="D9E2F3"/>
              </w:rPr>
              <w:t>EITI Report (year and page number), EITI website etc</w:t>
            </w:r>
            <w:r>
              <w:rPr>
                <w:shd w:val="clear" w:color="auto" w:fill="D9E2F3"/>
              </w:rPr>
              <w:br/>
            </w:r>
          </w:p>
        </w:tc>
      </w:tr>
      <w:tr w:rsidR="00BB62F4" w14:paraId="5EBE9902" w14:textId="77777777">
        <w:tc>
          <w:tcPr>
            <w:tcW w:w="1096" w:type="dxa"/>
            <w:shd w:val="clear" w:color="auto" w:fill="B4C6E7"/>
          </w:tcPr>
          <w:p w14:paraId="19A5AB2D" w14:textId="77777777" w:rsidR="00BB62F4" w:rsidRDefault="00000000">
            <w:pPr>
              <w:rPr>
                <w:i/>
                <w:iCs/>
              </w:rPr>
            </w:pPr>
            <w:r>
              <w:rPr>
                <w:b/>
                <w:bCs/>
              </w:rPr>
              <w:lastRenderedPageBreak/>
              <w:t>Required</w:t>
            </w:r>
          </w:p>
        </w:tc>
        <w:tc>
          <w:tcPr>
            <w:tcW w:w="7966" w:type="dxa"/>
            <w:shd w:val="clear" w:color="auto" w:fill="B4C6E7"/>
          </w:tcPr>
          <w:p w14:paraId="03A4A79B" w14:textId="77777777" w:rsidR="00BB62F4" w:rsidRDefault="00000000">
            <w:pPr>
              <w:rPr>
                <w:b/>
                <w:bCs/>
              </w:rPr>
            </w:pPr>
            <w:r>
              <w:rPr>
                <w:b/>
                <w:bCs/>
              </w:rPr>
              <w:t xml:space="preserve">#2.4.c.iii – Disclosure practice </w:t>
            </w:r>
          </w:p>
        </w:tc>
      </w:tr>
      <w:tr w:rsidR="00BB62F4" w14:paraId="28E23BD5" w14:textId="77777777">
        <w:tc>
          <w:tcPr>
            <w:tcW w:w="1096" w:type="dxa"/>
            <w:shd w:val="clear" w:color="auto" w:fill="FFFFFF"/>
          </w:tcPr>
          <w:p w14:paraId="5100C84D" w14:textId="77777777" w:rsidR="00BB62F4" w:rsidRDefault="00000000">
            <w:pPr>
              <w:rPr>
                <w:b/>
                <w:bCs/>
              </w:rPr>
            </w:pPr>
            <w:r>
              <w:rPr>
                <w:i/>
                <w:iCs/>
              </w:rPr>
              <w:t>Availability</w:t>
            </w:r>
          </w:p>
        </w:tc>
        <w:tc>
          <w:tcPr>
            <w:tcW w:w="7966" w:type="dxa"/>
            <w:shd w:val="clear" w:color="auto" w:fill="FFFFFF"/>
          </w:tcPr>
          <w:p w14:paraId="2611255D" w14:textId="77777777" w:rsidR="00BB62F4" w:rsidRDefault="00000000">
            <w:pPr>
              <w:rPr>
                <w:b/>
                <w:bCs/>
              </w:rPr>
            </w:pPr>
            <w:r>
              <w:rPr>
                <w:b/>
                <w:bCs/>
              </w:rPr>
              <w:t>Are there any deviations between disclosure practice and the legislation or government policy requirements concerning the disclosure of contracts and licenses?</w:t>
            </w:r>
          </w:p>
          <w:p w14:paraId="7AD33022" w14:textId="77777777" w:rsidR="00BB62F4" w:rsidRDefault="00000000">
            <w:r>
              <w:rPr>
                <w:rFonts w:ascii="MS Gothic" w:eastAsia="MS Gothic" w:hAnsi="MS Gothic" w:cs="MS Gothic"/>
              </w:rPr>
              <w:lastRenderedPageBreak/>
              <w:t>☒</w:t>
            </w:r>
            <w:r>
              <w:t xml:space="preserve"> </w:t>
            </w:r>
            <w:r>
              <w:rPr>
                <w:shd w:val="clear" w:color="auto" w:fill="D9E2F3"/>
              </w:rPr>
              <w:t>Yes</w:t>
            </w:r>
            <w:r>
              <w:t xml:space="preserve">     </w:t>
            </w:r>
            <w:sdt>
              <w:sdtPr>
                <w:tag w:val="goog_rdk_53"/>
                <w:id w:val="-465777184"/>
              </w:sdtPr>
              <w:sdtContent>
                <w:r>
                  <w:rPr>
                    <w:rFonts w:ascii="Arial Unicode MS" w:eastAsia="Arial Unicode MS" w:hAnsi="Arial Unicode MS" w:cs="Arial Unicode MS"/>
                  </w:rPr>
                  <w:t>☐</w:t>
                </w:r>
              </w:sdtContent>
            </w:sdt>
            <w:r>
              <w:t xml:space="preserve"> </w:t>
            </w:r>
            <w:r>
              <w:rPr>
                <w:shd w:val="clear" w:color="auto" w:fill="D9E2F3"/>
              </w:rPr>
              <w:t xml:space="preserve">No  </w:t>
            </w:r>
            <w:r>
              <w:t xml:space="preserve"> </w:t>
            </w:r>
          </w:p>
          <w:p w14:paraId="12EA6FE8" w14:textId="77777777" w:rsidR="00BB62F4" w:rsidRDefault="00000000">
            <w:r>
              <w:t>If yes, has the MSG provided an explanation for the deviation?</w:t>
            </w:r>
          </w:p>
          <w:p w14:paraId="46D3CBF5" w14:textId="77777777" w:rsidR="00BB62F4" w:rsidRDefault="00000000">
            <w:sdt>
              <w:sdtPr>
                <w:tag w:val="goog_rdk_54"/>
                <w:id w:val="1347696283"/>
              </w:sdtPr>
              <w:sdtContent>
                <w:r>
                  <w:rPr>
                    <w:rFonts w:ascii="Arial Unicode MS" w:eastAsia="Arial Unicode MS" w:hAnsi="Arial Unicode MS" w:cs="Arial Unicode MS"/>
                  </w:rPr>
                  <w:t>☐</w:t>
                </w:r>
              </w:sdtContent>
            </w:sdt>
            <w:r>
              <w:t xml:space="preserve"> </w:t>
            </w:r>
            <w:r>
              <w:rPr>
                <w:shd w:val="clear" w:color="auto" w:fill="D9E2F3"/>
              </w:rPr>
              <w:t>Yes</w:t>
            </w:r>
            <w:r>
              <w:t xml:space="preserve">     </w:t>
            </w:r>
            <w:r>
              <w:rPr>
                <w:rFonts w:ascii="MS Gothic" w:eastAsia="MS Gothic" w:hAnsi="MS Gothic" w:cs="MS Gothic"/>
              </w:rPr>
              <w:t>☒</w:t>
            </w:r>
            <w:r>
              <w:t xml:space="preserve"> </w:t>
            </w:r>
            <w:r>
              <w:rPr>
                <w:shd w:val="clear" w:color="auto" w:fill="D9E2F3"/>
              </w:rPr>
              <w:t xml:space="preserve">No  </w:t>
            </w:r>
            <w:r>
              <w:t xml:space="preserve"> </w:t>
            </w:r>
          </w:p>
          <w:p w14:paraId="46444414" w14:textId="77777777" w:rsidR="00BB62F4" w:rsidRDefault="00000000">
            <w:pPr>
              <w:pBdr>
                <w:top w:val="nil"/>
                <w:left w:val="nil"/>
                <w:bottom w:val="nil"/>
                <w:right w:val="nil"/>
                <w:between w:val="nil"/>
              </w:pBdr>
              <w:rPr>
                <w:color w:val="000000"/>
              </w:rPr>
            </w:pPr>
            <w:r>
              <w:rPr>
                <w:color w:val="000000"/>
              </w:rPr>
              <w:t xml:space="preserve">Explain: </w:t>
            </w:r>
          </w:p>
          <w:p w14:paraId="43F49772" w14:textId="77777777" w:rsidR="00BB62F4" w:rsidRDefault="00000000">
            <w:pPr>
              <w:shd w:val="clear" w:color="auto" w:fill="FFFFFF"/>
              <w:rPr>
                <w:b/>
                <w:bCs/>
                <w:i/>
                <w:iCs/>
              </w:rPr>
            </w:pPr>
            <w:r>
              <w:rPr>
                <w:b/>
                <w:bCs/>
                <w:i/>
                <w:iCs/>
              </w:rPr>
              <w:t>Where is the assessment of a deviation (if applicable) between practice and policy documented?</w:t>
            </w:r>
          </w:p>
          <w:p w14:paraId="1962C4A3" w14:textId="77777777" w:rsidR="00BB62F4" w:rsidRDefault="00000000">
            <w:pPr>
              <w:shd w:val="clear" w:color="auto" w:fill="FFFFFF"/>
            </w:pPr>
            <w:r>
              <w:t xml:space="preserve">Systematic disclosures: </w:t>
            </w:r>
            <w:r>
              <w:rPr>
                <w:shd w:val="clear" w:color="auto" w:fill="D9E2F3"/>
              </w:rPr>
              <w:t xml:space="preserve">website www. or routine publication by the </w:t>
            </w:r>
            <w:hyperlink w:anchor="_heading=h.ceyfom1ili73">
              <w:r>
                <w:rPr>
                  <w:color w:val="0000FF"/>
                  <w:u w:val="single"/>
                  <w:shd w:val="clear" w:color="auto" w:fill="D9E2F3"/>
                </w:rPr>
                <w:t>holders of information</w:t>
              </w:r>
            </w:hyperlink>
          </w:p>
          <w:p w14:paraId="7D1E5AFB" w14:textId="77777777" w:rsidR="00BB62F4" w:rsidRDefault="00000000">
            <w:pPr>
              <w:shd w:val="clear" w:color="auto" w:fill="FFFFFF"/>
            </w:pPr>
            <w:r>
              <w:t>AND / OR</w:t>
            </w:r>
          </w:p>
          <w:p w14:paraId="1095511D" w14:textId="77777777" w:rsidR="00BB62F4" w:rsidRDefault="00000000">
            <w:pPr>
              <w:pBdr>
                <w:top w:val="nil"/>
                <w:left w:val="nil"/>
                <w:bottom w:val="nil"/>
                <w:right w:val="nil"/>
                <w:between w:val="nil"/>
              </w:pBdr>
              <w:rPr>
                <w:color w:val="000000"/>
              </w:rPr>
            </w:pPr>
            <w:r>
              <w:rPr>
                <w:color w:val="000000"/>
              </w:rPr>
              <w:t xml:space="preserve">Other sources: </w:t>
            </w:r>
            <w:r>
              <w:rPr>
                <w:color w:val="000000"/>
                <w:shd w:val="clear" w:color="auto" w:fill="D9E2F3"/>
              </w:rPr>
              <w:t>EITI Report (year and page number), EITI website etc</w:t>
            </w:r>
          </w:p>
          <w:p w14:paraId="4B5577D0" w14:textId="77777777" w:rsidR="00BB62F4" w:rsidRDefault="00BB62F4">
            <w:pPr>
              <w:pBdr>
                <w:top w:val="nil"/>
                <w:left w:val="nil"/>
                <w:bottom w:val="nil"/>
                <w:right w:val="nil"/>
                <w:between w:val="nil"/>
              </w:pBdr>
              <w:rPr>
                <w:color w:val="000000"/>
                <w:sz w:val="24"/>
                <w:szCs w:val="24"/>
              </w:rPr>
            </w:pPr>
          </w:p>
        </w:tc>
      </w:tr>
    </w:tbl>
    <w:p w14:paraId="0A1E28FB" w14:textId="77777777" w:rsidR="00BB62F4" w:rsidRDefault="00000000">
      <w:pPr>
        <w:rPr>
          <w:b/>
          <w:bCs/>
        </w:rPr>
      </w:pPr>
      <w:r>
        <w:rPr>
          <w:b/>
          <w:bCs/>
        </w:rPr>
        <w:lastRenderedPageBreak/>
        <w:t xml:space="preserve">Additional comments and observations on this requirement, including any possible gaps, barriers to disclosures and how stakeholders (MSG, government, companies) are addressing those </w:t>
      </w:r>
    </w:p>
    <w:tbl>
      <w:tblPr>
        <w:tblStyle w:val="af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049ED93F" w14:textId="77777777">
        <w:tc>
          <w:tcPr>
            <w:tcW w:w="9062" w:type="dxa"/>
          </w:tcPr>
          <w:p w14:paraId="4216ED6A" w14:textId="77777777" w:rsidR="00BB62F4" w:rsidRDefault="00000000">
            <w:pPr>
              <w:rPr>
                <w:i/>
                <w:iCs/>
              </w:rPr>
            </w:pPr>
            <w:r>
              <w:rPr>
                <w:i/>
                <w:iCs/>
                <w:shd w:val="clear" w:color="auto" w:fill="D9E2F3"/>
              </w:rPr>
              <w:t>Add any further comments</w:t>
            </w:r>
            <w:r>
              <w:rPr>
                <w:i/>
                <w:iCs/>
              </w:rPr>
              <w:t xml:space="preserve">: </w:t>
            </w:r>
          </w:p>
        </w:tc>
      </w:tr>
    </w:tbl>
    <w:p w14:paraId="5D010247" w14:textId="77777777" w:rsidR="00BB62F4" w:rsidRDefault="00BB62F4"/>
    <w:p w14:paraId="0AC14712" w14:textId="77777777" w:rsidR="00BB62F4" w:rsidRDefault="00BB62F4"/>
    <w:p w14:paraId="33D038E2" w14:textId="77777777" w:rsidR="00BB62F4" w:rsidRDefault="00000000">
      <w:pPr>
        <w:pStyle w:val="Heading3"/>
      </w:pPr>
      <w:bookmarkStart w:id="28" w:name="_heading=h.v7w9p19svaid" w:colFirst="0" w:colLast="0"/>
      <w:bookmarkEnd w:id="28"/>
      <w:r>
        <w:t xml:space="preserve">Underlying objective </w:t>
      </w:r>
    </w:p>
    <w:p w14:paraId="56230A8B" w14:textId="77777777" w:rsidR="00BB62F4" w:rsidRDefault="00000000">
      <w:pPr>
        <w:rPr>
          <w:i/>
          <w:iCs/>
        </w:rPr>
      </w:pPr>
      <w:r>
        <w:rPr>
          <w:i/>
          <w:iCs/>
        </w:rPr>
        <w:t>The objective of this requirement is to ensure the public accessibility of all licenses and contracts underpinning extractive activities (at least from 2021 onwards) as a basis for the public’s understanding of the contractual rights and obligations of companies operating in the country’s extractive industries. The requirement further aims to ensure that contract disclosure is contributing to stakeholders’ ability to monitor compliance with contractual obligations. </w:t>
      </w:r>
    </w:p>
    <w:p w14:paraId="19586B89" w14:textId="77777777" w:rsidR="00BB62F4" w:rsidRDefault="00000000">
      <w:pPr>
        <w:rPr>
          <w:b/>
          <w:bCs/>
        </w:rPr>
      </w:pPr>
      <w:r>
        <w:rPr>
          <w:b/>
          <w:bCs/>
        </w:rPr>
        <w:t>Access to information</w:t>
      </w:r>
    </w:p>
    <w:p w14:paraId="702235F7" w14:textId="77777777" w:rsidR="00BB62F4" w:rsidRDefault="00000000">
      <w:pPr>
        <w:numPr>
          <w:ilvl w:val="0"/>
          <w:numId w:val="2"/>
        </w:numPr>
        <w:pBdr>
          <w:top w:val="nil"/>
          <w:left w:val="nil"/>
          <w:bottom w:val="nil"/>
          <w:right w:val="nil"/>
          <w:between w:val="nil"/>
        </w:pBdr>
        <w:rPr>
          <w:color w:val="000000"/>
        </w:rPr>
      </w:pPr>
      <w:r>
        <w:rPr>
          <w:color w:val="000000"/>
        </w:rPr>
        <w:t>Do MSG members consider that licenses and contracts are accessible, allowing for citizens to understand the contractual rights and obligations of companies operating in the country’s sector?</w:t>
      </w:r>
    </w:p>
    <w:tbl>
      <w:tblPr>
        <w:tblStyle w:val="af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0591E1EF" w14:textId="77777777">
        <w:tc>
          <w:tcPr>
            <w:tcW w:w="9062" w:type="dxa"/>
          </w:tcPr>
          <w:p w14:paraId="6B7D44B5" w14:textId="77777777" w:rsidR="00BB62F4" w:rsidRDefault="00000000">
            <w:r>
              <w:rPr>
                <w:rFonts w:ascii="MS Gothic" w:eastAsia="MS Gothic" w:hAnsi="MS Gothic" w:cs="MS Gothic"/>
              </w:rPr>
              <w:t>☐</w:t>
            </w:r>
            <w:r>
              <w:t xml:space="preserve"> Yes           </w:t>
            </w:r>
            <w:r>
              <w:rPr>
                <w:rFonts w:ascii="MS Gothic" w:eastAsia="MS Gothic" w:hAnsi="MS Gothic" w:cs="MS Gothic"/>
              </w:rPr>
              <w:t>☒</w:t>
            </w:r>
            <w:r>
              <w:t>No</w:t>
            </w:r>
          </w:p>
          <w:p w14:paraId="3FC1B6E2" w14:textId="77777777" w:rsidR="00BB62F4" w:rsidRDefault="00000000">
            <w:pPr>
              <w:rPr>
                <w:i/>
                <w:iCs/>
              </w:rPr>
            </w:pPr>
            <w:r>
              <w:rPr>
                <w:i/>
                <w:iCs/>
              </w:rPr>
              <w:t xml:space="preserve">Elaborate </w:t>
            </w:r>
          </w:p>
        </w:tc>
      </w:tr>
    </w:tbl>
    <w:p w14:paraId="48953B88" w14:textId="77777777" w:rsidR="00BB62F4" w:rsidRDefault="00BB62F4"/>
    <w:p w14:paraId="2019A29B" w14:textId="77777777" w:rsidR="00BB62F4" w:rsidRDefault="00000000">
      <w:pPr>
        <w:numPr>
          <w:ilvl w:val="0"/>
          <w:numId w:val="2"/>
        </w:numPr>
        <w:pBdr>
          <w:top w:val="nil"/>
          <w:left w:val="nil"/>
          <w:bottom w:val="nil"/>
          <w:right w:val="nil"/>
          <w:between w:val="nil"/>
        </w:pBdr>
        <w:rPr>
          <w:color w:val="000000"/>
        </w:rPr>
      </w:pPr>
      <w:r>
        <w:rPr>
          <w:color w:val="000000"/>
        </w:rPr>
        <w:t xml:space="preserve">Do MSG members consider that contract disclosure is contributing to stakeholders’ ability to monitor compliance with contractual obligations? Views from key audiences, such as journalists, civil society members engaged in the analysis of contracts or companies interested in investing could be considered in the MSG’s assessment. </w:t>
      </w:r>
    </w:p>
    <w:tbl>
      <w:tblPr>
        <w:tblStyle w:val="aff"/>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7933D225" w14:textId="77777777">
        <w:tc>
          <w:tcPr>
            <w:tcW w:w="9062" w:type="dxa"/>
          </w:tcPr>
          <w:p w14:paraId="127FD1C1" w14:textId="77777777" w:rsidR="00BB62F4" w:rsidRDefault="00000000">
            <w:pPr>
              <w:jc w:val="both"/>
            </w:pPr>
            <w:r>
              <w:rPr>
                <w:rFonts w:ascii="MS Gothic" w:eastAsia="MS Gothic" w:hAnsi="MS Gothic" w:cs="MS Gothic"/>
              </w:rPr>
              <w:t>☒</w:t>
            </w:r>
            <w:r>
              <w:t xml:space="preserve"> Yes           </w:t>
            </w:r>
            <w:r>
              <w:rPr>
                <w:rFonts w:ascii="MS Gothic" w:eastAsia="MS Gothic" w:hAnsi="MS Gothic" w:cs="MS Gothic"/>
              </w:rPr>
              <w:t>☐</w:t>
            </w:r>
            <w:r>
              <w:t>No</w:t>
            </w:r>
          </w:p>
          <w:p w14:paraId="4C9E8A7E" w14:textId="77777777" w:rsidR="00BB62F4" w:rsidRDefault="00000000">
            <w:pPr>
              <w:rPr>
                <w:i/>
                <w:iCs/>
              </w:rPr>
            </w:pPr>
            <w:r>
              <w:rPr>
                <w:i/>
                <w:iCs/>
              </w:rPr>
              <w:t xml:space="preserve">Elaborate: </w:t>
            </w:r>
          </w:p>
        </w:tc>
      </w:tr>
    </w:tbl>
    <w:p w14:paraId="5411D57E" w14:textId="77777777" w:rsidR="00BB62F4" w:rsidRDefault="00BB62F4">
      <w:pPr>
        <w:pBdr>
          <w:top w:val="nil"/>
          <w:left w:val="nil"/>
          <w:bottom w:val="nil"/>
          <w:right w:val="nil"/>
          <w:between w:val="nil"/>
        </w:pBdr>
        <w:ind w:left="720"/>
        <w:rPr>
          <w:color w:val="000000"/>
        </w:rPr>
      </w:pPr>
    </w:p>
    <w:p w14:paraId="4B382CF2" w14:textId="77777777" w:rsidR="00BB62F4" w:rsidRDefault="00000000">
      <w:pPr>
        <w:numPr>
          <w:ilvl w:val="0"/>
          <w:numId w:val="2"/>
        </w:numPr>
        <w:pBdr>
          <w:top w:val="nil"/>
          <w:left w:val="nil"/>
          <w:bottom w:val="nil"/>
          <w:right w:val="nil"/>
          <w:between w:val="nil"/>
        </w:pBdr>
      </w:pPr>
      <w:r>
        <w:rPr>
          <w:color w:val="000000"/>
        </w:rPr>
        <w:lastRenderedPageBreak/>
        <w:t>Do any stakeholders on the MSG or broader constituency consider that a significant contract is missing, including prior to January 2021?</w:t>
      </w:r>
    </w:p>
    <w:p w14:paraId="45212884" w14:textId="77777777" w:rsidR="00BB62F4" w:rsidRDefault="00000000">
      <w:pPr>
        <w:pBdr>
          <w:top w:val="single" w:sz="4" w:space="1" w:color="000000"/>
          <w:left w:val="single" w:sz="4" w:space="4" w:color="000000"/>
          <w:bottom w:val="single" w:sz="4" w:space="1" w:color="000000"/>
          <w:right w:val="single" w:sz="4" w:space="4" w:color="000000"/>
        </w:pBdr>
      </w:pPr>
      <w:r>
        <w:rPr>
          <w:rFonts w:ascii="MS Gothic" w:eastAsia="MS Gothic" w:hAnsi="MS Gothic" w:cs="MS Gothic"/>
        </w:rPr>
        <w:t>☒</w:t>
      </w:r>
      <w:r>
        <w:t xml:space="preserve"> Yes           </w:t>
      </w:r>
      <w:r>
        <w:rPr>
          <w:rFonts w:ascii="MS Gothic" w:eastAsia="MS Gothic" w:hAnsi="MS Gothic" w:cs="MS Gothic"/>
        </w:rPr>
        <w:t>☐</w:t>
      </w:r>
      <w:r>
        <w:t>No</w:t>
      </w:r>
    </w:p>
    <w:p w14:paraId="241C194F" w14:textId="77777777" w:rsidR="00BB62F4" w:rsidRDefault="00000000">
      <w:pPr>
        <w:pBdr>
          <w:top w:val="single" w:sz="4" w:space="1" w:color="000000"/>
          <w:left w:val="single" w:sz="4" w:space="4" w:color="000000"/>
          <w:bottom w:val="single" w:sz="4" w:space="1" w:color="000000"/>
          <w:right w:val="single" w:sz="4" w:space="4" w:color="000000"/>
        </w:pBdr>
      </w:pPr>
      <w:r>
        <w:rPr>
          <w:i/>
          <w:iCs/>
        </w:rPr>
        <w:t xml:space="preserve">Elaborate: </w:t>
      </w:r>
    </w:p>
    <w:p w14:paraId="6503BEDE" w14:textId="77777777" w:rsidR="00BB62F4" w:rsidRDefault="00BB62F4">
      <w:pPr>
        <w:pBdr>
          <w:top w:val="nil"/>
          <w:left w:val="nil"/>
          <w:bottom w:val="nil"/>
          <w:right w:val="nil"/>
          <w:between w:val="nil"/>
        </w:pBdr>
        <w:ind w:left="720"/>
        <w:rPr>
          <w:color w:val="000000"/>
        </w:rPr>
      </w:pPr>
    </w:p>
    <w:p w14:paraId="5BBE3C50" w14:textId="77777777" w:rsidR="00BB62F4" w:rsidRDefault="00000000">
      <w:pPr>
        <w:numPr>
          <w:ilvl w:val="0"/>
          <w:numId w:val="2"/>
        </w:numPr>
        <w:pBdr>
          <w:top w:val="nil"/>
          <w:left w:val="nil"/>
          <w:bottom w:val="nil"/>
          <w:right w:val="nil"/>
          <w:between w:val="nil"/>
        </w:pBdr>
      </w:pPr>
      <w:r>
        <w:rPr>
          <w:color w:val="000000"/>
        </w:rPr>
        <w:t>Has the MSG discussed if disclosing contracts that predate 1 January 2021 is a priority? If yes, what was the outcome of that discussion?</w:t>
      </w:r>
    </w:p>
    <w:p w14:paraId="2C1CB7F5" w14:textId="77777777" w:rsidR="00BB62F4" w:rsidRDefault="00000000">
      <w:pPr>
        <w:pBdr>
          <w:top w:val="single" w:sz="4" w:space="1" w:color="000000"/>
          <w:left w:val="single" w:sz="4" w:space="4" w:color="000000"/>
          <w:bottom w:val="single" w:sz="4" w:space="1" w:color="000000"/>
          <w:right w:val="single" w:sz="4" w:space="4" w:color="000000"/>
        </w:pBd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64CA053F" w14:textId="77777777" w:rsidR="00BB62F4" w:rsidRDefault="00000000">
      <w:pPr>
        <w:pBdr>
          <w:top w:val="single" w:sz="4" w:space="1" w:color="000000"/>
          <w:left w:val="single" w:sz="4" w:space="4" w:color="000000"/>
          <w:bottom w:val="single" w:sz="4" w:space="1" w:color="000000"/>
          <w:right w:val="single" w:sz="4" w:space="4" w:color="000000"/>
        </w:pBdr>
      </w:pPr>
      <w:r>
        <w:rPr>
          <w:i/>
          <w:iCs/>
          <w:shd w:val="clear" w:color="auto" w:fill="D9E2F3"/>
        </w:rPr>
        <w:t xml:space="preserve">Elaborate: </w:t>
      </w:r>
    </w:p>
    <w:p w14:paraId="35383A86" w14:textId="77777777" w:rsidR="00BB62F4" w:rsidRDefault="00BB62F4">
      <w:pPr>
        <w:pBdr>
          <w:top w:val="nil"/>
          <w:left w:val="nil"/>
          <w:bottom w:val="nil"/>
          <w:right w:val="nil"/>
          <w:between w:val="nil"/>
        </w:pBdr>
        <w:ind w:left="720"/>
        <w:rPr>
          <w:color w:val="000000"/>
        </w:rPr>
      </w:pPr>
    </w:p>
    <w:p w14:paraId="4929EB17" w14:textId="77777777" w:rsidR="00BB62F4" w:rsidRDefault="00000000">
      <w:pPr>
        <w:numPr>
          <w:ilvl w:val="0"/>
          <w:numId w:val="2"/>
        </w:numPr>
        <w:pBdr>
          <w:top w:val="nil"/>
          <w:left w:val="nil"/>
          <w:bottom w:val="nil"/>
          <w:right w:val="nil"/>
          <w:between w:val="nil"/>
        </w:pBdr>
      </w:pPr>
      <w:r>
        <w:rPr>
          <w:color w:val="000000"/>
        </w:rPr>
        <w:t>Has the MSG conducted any analysis of the terms of the contracts with a view to monitoring compliance?</w:t>
      </w:r>
    </w:p>
    <w:p w14:paraId="682CA4F9" w14:textId="77777777" w:rsidR="00BB62F4" w:rsidRDefault="00000000">
      <w:pPr>
        <w:pBdr>
          <w:top w:val="single" w:sz="4" w:space="1" w:color="000000"/>
          <w:left w:val="single" w:sz="4" w:space="4" w:color="000000"/>
          <w:bottom w:val="single" w:sz="4" w:space="1" w:color="000000"/>
          <w:right w:val="single" w:sz="4" w:space="4" w:color="000000"/>
        </w:pBd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13C1D993" w14:textId="77777777" w:rsidR="00BB62F4" w:rsidRDefault="00000000">
      <w:pPr>
        <w:pBdr>
          <w:top w:val="single" w:sz="4" w:space="1" w:color="000000"/>
          <w:left w:val="single" w:sz="4" w:space="4" w:color="000000"/>
          <w:bottom w:val="single" w:sz="4" w:space="1" w:color="000000"/>
          <w:right w:val="single" w:sz="4" w:space="4" w:color="000000"/>
        </w:pBdr>
      </w:pPr>
      <w:r>
        <w:rPr>
          <w:i/>
          <w:iCs/>
          <w:shd w:val="clear" w:color="auto" w:fill="D9E2F3"/>
        </w:rPr>
        <w:t>If yes, sources of where this analysis can be found:  in the NEITI 2023 Oil and Gas Industry Report (</w:t>
      </w:r>
      <w:proofErr w:type="spellStart"/>
      <w:r>
        <w:rPr>
          <w:i/>
          <w:iCs/>
          <w:shd w:val="clear" w:color="auto" w:fill="D9E2F3"/>
        </w:rPr>
        <w:t>E.g</w:t>
      </w:r>
      <w:proofErr w:type="spellEnd"/>
      <w:r>
        <w:rPr>
          <w:i/>
          <w:iCs/>
          <w:shd w:val="clear" w:color="auto" w:fill="D9E2F3"/>
        </w:rPr>
        <w:t xml:space="preserve"> Term Contracts) </w:t>
      </w:r>
    </w:p>
    <w:p w14:paraId="0EC48C36" w14:textId="77777777" w:rsidR="00BB62F4" w:rsidRDefault="00BB62F4">
      <w:pPr>
        <w:pBdr>
          <w:top w:val="nil"/>
          <w:left w:val="nil"/>
          <w:bottom w:val="nil"/>
          <w:right w:val="nil"/>
          <w:between w:val="nil"/>
        </w:pBdr>
        <w:ind w:left="720"/>
        <w:rPr>
          <w:color w:val="000000"/>
        </w:rPr>
      </w:pPr>
    </w:p>
    <w:p w14:paraId="2543A2C0" w14:textId="77777777" w:rsidR="00BB62F4" w:rsidRDefault="00000000">
      <w:pPr>
        <w:numPr>
          <w:ilvl w:val="0"/>
          <w:numId w:val="2"/>
        </w:numPr>
        <w:pBdr>
          <w:top w:val="nil"/>
          <w:left w:val="nil"/>
          <w:bottom w:val="nil"/>
          <w:right w:val="nil"/>
          <w:between w:val="nil"/>
        </w:pBdr>
      </w:pPr>
      <w:r>
        <w:rPr>
          <w:color w:val="000000"/>
        </w:rPr>
        <w:t>Is the MSG aware of stakeholders using contract stipulations? Such as projects, studies or communications aimed at informing revenue projections, strengthening domestic resources mobilisation, supporting other national reforms or explaining contract terms to the public?</w:t>
      </w:r>
    </w:p>
    <w:p w14:paraId="2EC75CE5" w14:textId="77777777" w:rsidR="00BB62F4" w:rsidRDefault="00000000">
      <w:pPr>
        <w:pBdr>
          <w:top w:val="single" w:sz="4" w:space="1" w:color="000000"/>
          <w:left w:val="single" w:sz="4" w:space="4" w:color="000000"/>
          <w:bottom w:val="single" w:sz="4" w:space="1" w:color="000000"/>
          <w:right w:val="single" w:sz="4" w:space="4" w:color="000000"/>
        </w:pBdr>
        <w:rPr>
          <w:highlight w:val="white"/>
        </w:rPr>
      </w:pPr>
      <w:r>
        <w:rPr>
          <w:rFonts w:ascii="MS Gothic" w:eastAsia="MS Gothic" w:hAnsi="MS Gothic" w:cs="MS Gothic"/>
          <w:highlight w:val="white"/>
        </w:rPr>
        <w:t>☒</w:t>
      </w:r>
      <w:r>
        <w:rPr>
          <w:highlight w:val="white"/>
        </w:rPr>
        <w:t xml:space="preserve"> Yes           </w:t>
      </w:r>
      <w:r>
        <w:rPr>
          <w:rFonts w:ascii="MS Gothic" w:eastAsia="MS Gothic" w:hAnsi="MS Gothic" w:cs="MS Gothic"/>
          <w:highlight w:val="white"/>
        </w:rPr>
        <w:t>☐</w:t>
      </w:r>
      <w:r>
        <w:rPr>
          <w:highlight w:val="white"/>
        </w:rPr>
        <w:t>No</w:t>
      </w:r>
    </w:p>
    <w:p w14:paraId="3143790F" w14:textId="77777777" w:rsidR="00BB62F4" w:rsidRDefault="00000000">
      <w:pPr>
        <w:pBdr>
          <w:top w:val="single" w:sz="4" w:space="1" w:color="000000"/>
          <w:left w:val="single" w:sz="4" w:space="4" w:color="000000"/>
          <w:bottom w:val="single" w:sz="4" w:space="1" w:color="000000"/>
          <w:right w:val="single" w:sz="4" w:space="4" w:color="000000"/>
        </w:pBdr>
        <w:rPr>
          <w:i/>
          <w:iCs/>
          <w:highlight w:val="white"/>
        </w:rPr>
      </w:pPr>
      <w:r>
        <w:rPr>
          <w:i/>
          <w:iCs/>
          <w:highlight w:val="white"/>
        </w:rPr>
        <w:t xml:space="preserve">If yes, sources of where this analysis can be found:  Budget Office of the Federation and MOFI. </w:t>
      </w:r>
    </w:p>
    <w:p w14:paraId="04881350" w14:textId="77777777" w:rsidR="00BB62F4" w:rsidRDefault="00000000">
      <w:pPr>
        <w:pBdr>
          <w:top w:val="single" w:sz="4" w:space="1" w:color="000000"/>
          <w:left w:val="single" w:sz="4" w:space="4" w:color="000000"/>
          <w:bottom w:val="single" w:sz="4" w:space="1" w:color="000000"/>
          <w:right w:val="single" w:sz="4" w:space="4" w:color="000000"/>
        </w:pBdr>
        <w:rPr>
          <w:i/>
          <w:iCs/>
          <w:highlight w:val="white"/>
        </w:rPr>
      </w:pPr>
      <w:proofErr w:type="gramStart"/>
      <w:r>
        <w:rPr>
          <w:i/>
          <w:iCs/>
          <w:highlight w:val="white"/>
        </w:rPr>
        <w:t>-(</w:t>
      </w:r>
      <w:proofErr w:type="gramEnd"/>
      <w:r>
        <w:fldChar w:fldCharType="begin"/>
      </w:r>
      <w:r>
        <w:instrText>HYPERLINK "https://budgetoffice.gov.ng/index.php/resources/internal-resources/policy-documents/mtef/2023-2025-mtef-fsp-final-draft/download" \h</w:instrText>
      </w:r>
      <w:r>
        <w:fldChar w:fldCharType="separate"/>
      </w:r>
      <w:r>
        <w:rPr>
          <w:i/>
          <w:iCs/>
          <w:color w:val="1155CC"/>
          <w:highlight w:val="white"/>
          <w:u w:val="single"/>
        </w:rPr>
        <w:t>https://budgetoffice.gov.ng/index.php/resources/internal-resources/policy-documents/mtef/2023-2025-mtef-fsp-final-draft/download</w:t>
      </w:r>
      <w:r>
        <w:fldChar w:fldCharType="end"/>
      </w:r>
    </w:p>
    <w:p w14:paraId="735995E3" w14:textId="77777777" w:rsidR="00BB62F4" w:rsidRDefault="00BB62F4">
      <w:pPr>
        <w:pBdr>
          <w:top w:val="single" w:sz="4" w:space="1" w:color="000000"/>
          <w:left w:val="single" w:sz="4" w:space="4" w:color="000000"/>
          <w:bottom w:val="single" w:sz="4" w:space="1" w:color="000000"/>
          <w:right w:val="single" w:sz="4" w:space="4" w:color="000000"/>
        </w:pBdr>
        <w:rPr>
          <w:i/>
          <w:iCs/>
          <w:highlight w:val="red"/>
        </w:rPr>
      </w:pPr>
    </w:p>
    <w:p w14:paraId="4ED81DA6" w14:textId="77777777" w:rsidR="00BB62F4" w:rsidRDefault="00BB62F4">
      <w:pPr>
        <w:pBdr>
          <w:top w:val="nil"/>
          <w:left w:val="nil"/>
          <w:bottom w:val="nil"/>
          <w:right w:val="nil"/>
          <w:between w:val="nil"/>
        </w:pBdr>
        <w:ind w:left="720"/>
        <w:rPr>
          <w:color w:val="000000"/>
        </w:rPr>
      </w:pPr>
    </w:p>
    <w:p w14:paraId="53F650A1" w14:textId="77777777" w:rsidR="00BB62F4" w:rsidRDefault="00000000">
      <w:pPr>
        <w:numPr>
          <w:ilvl w:val="0"/>
          <w:numId w:val="2"/>
        </w:numPr>
        <w:pBdr>
          <w:top w:val="nil"/>
          <w:left w:val="nil"/>
          <w:bottom w:val="nil"/>
          <w:right w:val="nil"/>
          <w:between w:val="nil"/>
        </w:pBdr>
      </w:pPr>
      <w:r>
        <w:rPr>
          <w:color w:val="000000"/>
        </w:rPr>
        <w:t xml:space="preserve">Has the MSG conducted any capacity-building activities to support stakeholders in </w:t>
      </w:r>
      <w:proofErr w:type="spellStart"/>
      <w:r>
        <w:rPr>
          <w:color w:val="000000"/>
        </w:rPr>
        <w:t>analyzing</w:t>
      </w:r>
      <w:proofErr w:type="spellEnd"/>
      <w:r>
        <w:rPr>
          <w:color w:val="000000"/>
        </w:rPr>
        <w:t xml:space="preserve"> contracts and monitoring contractual rights and obligations? </w:t>
      </w:r>
    </w:p>
    <w:p w14:paraId="2B801CD6" w14:textId="77777777" w:rsidR="00BB62F4" w:rsidRDefault="00000000">
      <w:pPr>
        <w:pBdr>
          <w:top w:val="single" w:sz="4" w:space="1" w:color="000000"/>
          <w:left w:val="single" w:sz="4" w:space="4" w:color="000000"/>
          <w:bottom w:val="single" w:sz="4" w:space="1" w:color="000000"/>
          <w:right w:val="single" w:sz="4" w:space="4" w:color="000000"/>
        </w:pBd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6CDF0A3E" w14:textId="77777777" w:rsidR="00BB62F4" w:rsidRDefault="00000000">
      <w:pPr>
        <w:pBdr>
          <w:top w:val="single" w:sz="4" w:space="1" w:color="000000"/>
          <w:left w:val="single" w:sz="4" w:space="4" w:color="000000"/>
          <w:bottom w:val="single" w:sz="4" w:space="1" w:color="000000"/>
          <w:right w:val="single" w:sz="4" w:space="4" w:color="000000"/>
        </w:pBdr>
      </w:pPr>
      <w:r>
        <w:rPr>
          <w:i/>
          <w:iCs/>
          <w:shd w:val="clear" w:color="auto" w:fill="D9E2F3"/>
        </w:rPr>
        <w:t xml:space="preserve">Elaborate: </w:t>
      </w:r>
    </w:p>
    <w:p w14:paraId="4398D7D2" w14:textId="77777777" w:rsidR="00BB62F4" w:rsidRDefault="00BB62F4">
      <w:pPr>
        <w:pBdr>
          <w:top w:val="nil"/>
          <w:left w:val="nil"/>
          <w:bottom w:val="nil"/>
          <w:right w:val="nil"/>
          <w:between w:val="nil"/>
        </w:pBdr>
        <w:ind w:left="720"/>
        <w:rPr>
          <w:color w:val="000000"/>
        </w:rPr>
      </w:pPr>
    </w:p>
    <w:p w14:paraId="599C7153" w14:textId="77777777" w:rsidR="00BB62F4" w:rsidRDefault="00000000">
      <w:pPr>
        <w:numPr>
          <w:ilvl w:val="0"/>
          <w:numId w:val="2"/>
        </w:numPr>
        <w:pBdr>
          <w:top w:val="nil"/>
          <w:left w:val="nil"/>
          <w:bottom w:val="nil"/>
          <w:right w:val="nil"/>
          <w:between w:val="nil"/>
        </w:pBdr>
      </w:pPr>
      <w:r>
        <w:rPr>
          <w:color w:val="000000"/>
        </w:rPr>
        <w:t>Is understanding of the contractual rights and obligations of companies operating in the country relevant to the country’s national priorities?</w:t>
      </w:r>
    </w:p>
    <w:p w14:paraId="61B4556B" w14:textId="77777777" w:rsidR="00BB62F4" w:rsidRDefault="00000000">
      <w:pPr>
        <w:pBdr>
          <w:top w:val="single" w:sz="4" w:space="1" w:color="000000"/>
          <w:left w:val="single" w:sz="4" w:space="4" w:color="000000"/>
          <w:bottom w:val="single" w:sz="4" w:space="1" w:color="000000"/>
          <w:right w:val="single" w:sz="4" w:space="4" w:color="000000"/>
        </w:pBd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E3DC2A9" w14:textId="77777777" w:rsidR="00BB62F4" w:rsidRDefault="00000000">
      <w:pPr>
        <w:pBdr>
          <w:top w:val="single" w:sz="4" w:space="1" w:color="000000"/>
          <w:left w:val="single" w:sz="4" w:space="4" w:color="000000"/>
          <w:bottom w:val="single" w:sz="4" w:space="1" w:color="000000"/>
          <w:right w:val="single" w:sz="4" w:space="4" w:color="000000"/>
        </w:pBdr>
      </w:pPr>
      <w:r>
        <w:rPr>
          <w:i/>
          <w:iCs/>
          <w:shd w:val="clear" w:color="auto" w:fill="D9E2F3"/>
        </w:rPr>
        <w:t xml:space="preserve">If yes, how so?  Yes, understanding the contractual rights and obligations of companies in Nigeria’s oil and gas sector is directly tied to the country’s national priorities. Compliance with </w:t>
      </w:r>
      <w:proofErr w:type="gramStart"/>
      <w:r>
        <w:rPr>
          <w:i/>
          <w:iCs/>
          <w:shd w:val="clear" w:color="auto" w:fill="D9E2F3"/>
        </w:rPr>
        <w:t>this obligations</w:t>
      </w:r>
      <w:proofErr w:type="gramEnd"/>
      <w:r>
        <w:rPr>
          <w:i/>
          <w:iCs/>
          <w:shd w:val="clear" w:color="auto" w:fill="D9E2F3"/>
        </w:rPr>
        <w:t xml:space="preserve"> is critical to advancing specific national goals which include: Revenue generation&amp; economic stability, domestic energy security, local content &amp; indigenous capacity, resource governance and accountability.</w:t>
      </w:r>
    </w:p>
    <w:p w14:paraId="0261B09B" w14:textId="77777777" w:rsidR="00BB62F4" w:rsidRDefault="00BB62F4">
      <w:pPr>
        <w:pBdr>
          <w:top w:val="nil"/>
          <w:left w:val="nil"/>
          <w:bottom w:val="nil"/>
          <w:right w:val="nil"/>
          <w:between w:val="nil"/>
        </w:pBdr>
        <w:spacing w:line="276" w:lineRule="auto"/>
        <w:rPr>
          <w:color w:val="000000"/>
        </w:rPr>
      </w:pPr>
      <w:bookmarkStart w:id="29" w:name="_heading=h.1yzce0bbszxo" w:colFirst="0" w:colLast="0"/>
      <w:bookmarkEnd w:id="29"/>
    </w:p>
    <w:p w14:paraId="78C0CA4D" w14:textId="77777777" w:rsidR="00BB62F4" w:rsidRDefault="00000000">
      <w:pPr>
        <w:pStyle w:val="Heading3"/>
      </w:pPr>
      <w:bookmarkStart w:id="30" w:name="_heading=h.hkens4m3415s" w:colFirst="0" w:colLast="0"/>
      <w:bookmarkEnd w:id="30"/>
      <w:r>
        <w:lastRenderedPageBreak/>
        <w:t>Conclusion</w:t>
      </w:r>
    </w:p>
    <w:p w14:paraId="171DDB52" w14:textId="77777777" w:rsidR="00BB62F4" w:rsidRDefault="00000000">
      <w:pPr>
        <w:pBdr>
          <w:top w:val="nil"/>
          <w:left w:val="nil"/>
          <w:bottom w:val="nil"/>
          <w:right w:val="nil"/>
          <w:between w:val="nil"/>
        </w:pBdr>
        <w:spacing w:line="276" w:lineRule="auto"/>
        <w:rPr>
          <w:color w:val="000000"/>
        </w:rPr>
      </w:pPr>
      <w:r>
        <w:rPr>
          <w:color w:val="000000"/>
        </w:rPr>
        <w:t xml:space="preserve">Based on the above, what is the MSG’s self-assessments towards fulfilling both the </w:t>
      </w:r>
      <w:hyperlink w:anchor="_heading=h.v7w9p19svaid">
        <w:r>
          <w:rPr>
            <w:color w:val="0000FF"/>
            <w:u w:val="single"/>
          </w:rPr>
          <w:t>objective</w:t>
        </w:r>
      </w:hyperlink>
      <w:r>
        <w:rPr>
          <w:color w:val="000000"/>
        </w:rPr>
        <w:t xml:space="preserve"> and </w:t>
      </w:r>
      <w:hyperlink w:anchor="_heading=h.bondpctxs6z0">
        <w:r>
          <w:rPr>
            <w:color w:val="0000FF"/>
            <w:u w:val="single"/>
          </w:rPr>
          <w:t>technical requirements</w:t>
        </w:r>
      </w:hyperlink>
      <w:r>
        <w:rPr>
          <w:color w:val="000000"/>
        </w:rPr>
        <w:t>?</w:t>
      </w:r>
    </w:p>
    <w:p w14:paraId="6F73A031" w14:textId="77777777" w:rsidR="00BB62F4" w:rsidRDefault="00BB62F4">
      <w:pPr>
        <w:pBdr>
          <w:top w:val="nil"/>
          <w:left w:val="nil"/>
          <w:bottom w:val="nil"/>
          <w:right w:val="nil"/>
          <w:between w:val="nil"/>
        </w:pBdr>
        <w:spacing w:line="276" w:lineRule="auto"/>
        <w:rPr>
          <w:color w:val="000000"/>
        </w:rPr>
      </w:pPr>
    </w:p>
    <w:p w14:paraId="41D57BF9" w14:textId="77777777" w:rsidR="00BB62F4" w:rsidRDefault="00000000">
      <w:pPr>
        <w:pBdr>
          <w:top w:val="nil"/>
          <w:left w:val="nil"/>
          <w:bottom w:val="nil"/>
          <w:right w:val="nil"/>
          <w:between w:val="nil"/>
        </w:pBdr>
        <w:spacing w:line="276" w:lineRule="auto"/>
        <w:rPr>
          <w:color w:val="000000"/>
        </w:rPr>
      </w:pPr>
      <w:r>
        <w:rPr>
          <w:color w:val="000000"/>
        </w:rPr>
        <w:t>Score is:</w:t>
      </w:r>
    </w:p>
    <w:tbl>
      <w:tblPr>
        <w:tblStyle w:val="aff0"/>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BB62F4" w14:paraId="04E13CA9" w14:textId="77777777">
        <w:trPr>
          <w:trHeight w:val="60"/>
        </w:trPr>
        <w:tc>
          <w:tcPr>
            <w:tcW w:w="1413" w:type="dxa"/>
          </w:tcPr>
          <w:p w14:paraId="3601E92F" w14:textId="77777777" w:rsidR="00BB62F4" w:rsidRDefault="00000000">
            <w:pPr>
              <w:spacing w:before="0" w:after="0"/>
            </w:pPr>
            <w:r>
              <w:rPr>
                <w:rFonts w:ascii="MS Gothic" w:eastAsia="MS Gothic" w:hAnsi="MS Gothic" w:cs="MS Gothic"/>
                <w:b/>
                <w:bCs/>
              </w:rPr>
              <w:t>☐</w:t>
            </w:r>
          </w:p>
        </w:tc>
        <w:tc>
          <w:tcPr>
            <w:tcW w:w="1134" w:type="dxa"/>
          </w:tcPr>
          <w:p w14:paraId="025B6EDE" w14:textId="77777777" w:rsidR="00BB62F4" w:rsidRDefault="00000000">
            <w:pPr>
              <w:spacing w:before="0" w:after="0"/>
            </w:pPr>
            <w:r>
              <w:rPr>
                <w:rFonts w:ascii="MS Gothic" w:eastAsia="MS Gothic" w:hAnsi="MS Gothic" w:cs="MS Gothic"/>
              </w:rPr>
              <w:t>☐</w:t>
            </w:r>
          </w:p>
        </w:tc>
        <w:tc>
          <w:tcPr>
            <w:tcW w:w="1417" w:type="dxa"/>
          </w:tcPr>
          <w:p w14:paraId="08B8F65F" w14:textId="77777777" w:rsidR="00BB62F4" w:rsidRDefault="00000000">
            <w:pPr>
              <w:spacing w:before="0" w:after="0"/>
            </w:pPr>
            <w:r>
              <w:rPr>
                <w:rFonts w:ascii="MS Gothic" w:eastAsia="MS Gothic" w:hAnsi="MS Gothic" w:cs="MS Gothic"/>
              </w:rPr>
              <w:t>☐</w:t>
            </w:r>
          </w:p>
        </w:tc>
        <w:tc>
          <w:tcPr>
            <w:tcW w:w="1276" w:type="dxa"/>
          </w:tcPr>
          <w:p w14:paraId="3AD04513" w14:textId="77777777" w:rsidR="00BB62F4" w:rsidRDefault="00000000">
            <w:pPr>
              <w:spacing w:before="0" w:after="0"/>
            </w:pPr>
            <w:r>
              <w:rPr>
                <w:rFonts w:ascii="MS Gothic" w:eastAsia="MS Gothic" w:hAnsi="MS Gothic" w:cs="MS Gothic"/>
              </w:rPr>
              <w:t>☐</w:t>
            </w:r>
          </w:p>
        </w:tc>
        <w:tc>
          <w:tcPr>
            <w:tcW w:w="1848" w:type="dxa"/>
          </w:tcPr>
          <w:p w14:paraId="62F6BAF7" w14:textId="77777777" w:rsidR="00BB62F4" w:rsidRDefault="00000000">
            <w:pPr>
              <w:spacing w:before="0" w:after="0"/>
            </w:pPr>
            <w:r>
              <w:rPr>
                <w:rFonts w:ascii="MS Gothic" w:eastAsia="MS Gothic" w:hAnsi="MS Gothic" w:cs="MS Gothic"/>
              </w:rPr>
              <w:t>☐</w:t>
            </w:r>
          </w:p>
        </w:tc>
        <w:tc>
          <w:tcPr>
            <w:tcW w:w="1671" w:type="dxa"/>
          </w:tcPr>
          <w:p w14:paraId="2E6F74D1" w14:textId="77777777" w:rsidR="00BB62F4" w:rsidRDefault="00000000">
            <w:pPr>
              <w:spacing w:before="0" w:after="0"/>
            </w:pPr>
            <w:r>
              <w:rPr>
                <w:rFonts w:ascii="MS Gothic" w:eastAsia="MS Gothic" w:hAnsi="MS Gothic" w:cs="MS Gothic"/>
              </w:rPr>
              <w:t>☐</w:t>
            </w:r>
          </w:p>
        </w:tc>
      </w:tr>
      <w:tr w:rsidR="00BB62F4" w14:paraId="07DCF188" w14:textId="77777777">
        <w:trPr>
          <w:trHeight w:val="60"/>
        </w:trPr>
        <w:tc>
          <w:tcPr>
            <w:tcW w:w="1413" w:type="dxa"/>
          </w:tcPr>
          <w:p w14:paraId="4FE0E4DA" w14:textId="77777777" w:rsidR="00BB62F4" w:rsidRDefault="00000000">
            <w:pPr>
              <w:spacing w:before="0" w:after="0"/>
            </w:pPr>
            <w:r>
              <w:t>very poor (</w:t>
            </w:r>
            <w:r>
              <w:rPr>
                <w:highlight w:val="black"/>
              </w:rPr>
              <w:t>0</w:t>
            </w:r>
            <w:r>
              <w:t>)</w:t>
            </w:r>
          </w:p>
        </w:tc>
        <w:tc>
          <w:tcPr>
            <w:tcW w:w="1134" w:type="dxa"/>
          </w:tcPr>
          <w:p w14:paraId="01B867A6" w14:textId="77777777" w:rsidR="00BB62F4" w:rsidRDefault="00000000">
            <w:pPr>
              <w:spacing w:before="0" w:after="0"/>
            </w:pPr>
            <w:r>
              <w:t>poor (</w:t>
            </w:r>
            <w:r>
              <w:rPr>
                <w:color w:val="FFFFFF"/>
                <w:shd w:val="clear" w:color="auto" w:fill="FF3300"/>
              </w:rPr>
              <w:t>25</w:t>
            </w:r>
            <w:r>
              <w:t>)</w:t>
            </w:r>
          </w:p>
        </w:tc>
        <w:tc>
          <w:tcPr>
            <w:tcW w:w="1417" w:type="dxa"/>
          </w:tcPr>
          <w:p w14:paraId="1A6D06BA" w14:textId="77777777" w:rsidR="00BB62F4" w:rsidRDefault="00000000">
            <w:pPr>
              <w:spacing w:before="0" w:after="0"/>
            </w:pPr>
            <w:r>
              <w:t>limited (</w:t>
            </w:r>
            <w:r>
              <w:rPr>
                <w:shd w:val="clear" w:color="auto" w:fill="FFC000"/>
              </w:rPr>
              <w:t>50</w:t>
            </w:r>
            <w:r>
              <w:t>)</w:t>
            </w:r>
          </w:p>
        </w:tc>
        <w:tc>
          <w:tcPr>
            <w:tcW w:w="1276" w:type="dxa"/>
          </w:tcPr>
          <w:p w14:paraId="63A7C29F" w14:textId="77777777" w:rsidR="00BB62F4" w:rsidRDefault="00000000">
            <w:pPr>
              <w:spacing w:before="0" w:after="0"/>
            </w:pPr>
            <w:r>
              <w:t>good (</w:t>
            </w:r>
            <w:r>
              <w:rPr>
                <w:shd w:val="clear" w:color="auto" w:fill="89AA2E"/>
              </w:rPr>
              <w:t>70</w:t>
            </w:r>
            <w:r>
              <w:t>)</w:t>
            </w:r>
          </w:p>
        </w:tc>
        <w:tc>
          <w:tcPr>
            <w:tcW w:w="1848" w:type="dxa"/>
          </w:tcPr>
          <w:p w14:paraId="35E22F52" w14:textId="77777777" w:rsidR="00BB62F4" w:rsidRDefault="00000000">
            <w:pPr>
              <w:spacing w:before="0" w:after="0"/>
            </w:pPr>
            <w:r>
              <w:t>very good (</w:t>
            </w:r>
            <w:r>
              <w:rPr>
                <w:color w:val="FFFFFF"/>
                <w:shd w:val="clear" w:color="auto" w:fill="2B8636"/>
              </w:rPr>
              <w:t>90</w:t>
            </w:r>
            <w:r>
              <w:t>)</w:t>
            </w:r>
          </w:p>
        </w:tc>
        <w:tc>
          <w:tcPr>
            <w:tcW w:w="1671" w:type="dxa"/>
          </w:tcPr>
          <w:p w14:paraId="413E234C" w14:textId="77777777" w:rsidR="00BB62F4" w:rsidRDefault="00000000">
            <w:pPr>
              <w:spacing w:before="0" w:after="0"/>
            </w:pPr>
            <w:r>
              <w:t>leading (</w:t>
            </w:r>
            <w:r>
              <w:rPr>
                <w:shd w:val="clear" w:color="auto" w:fill="00B0F0"/>
              </w:rPr>
              <w:t>100</w:t>
            </w:r>
            <w:r>
              <w:t>)</w:t>
            </w:r>
          </w:p>
        </w:tc>
      </w:tr>
      <w:tr w:rsidR="00BB62F4" w14:paraId="5531F9CD" w14:textId="77777777">
        <w:trPr>
          <w:trHeight w:val="60"/>
        </w:trPr>
        <w:tc>
          <w:tcPr>
            <w:tcW w:w="1413" w:type="dxa"/>
          </w:tcPr>
          <w:p w14:paraId="422A967E" w14:textId="77777777" w:rsidR="00BB62F4" w:rsidRDefault="00BB62F4">
            <w:pPr>
              <w:spacing w:before="0" w:after="0"/>
            </w:pPr>
          </w:p>
        </w:tc>
        <w:tc>
          <w:tcPr>
            <w:tcW w:w="1134" w:type="dxa"/>
          </w:tcPr>
          <w:p w14:paraId="76DC406E" w14:textId="77777777" w:rsidR="00BB62F4" w:rsidRDefault="00BB62F4">
            <w:pPr>
              <w:spacing w:before="0" w:after="0"/>
            </w:pPr>
          </w:p>
        </w:tc>
        <w:tc>
          <w:tcPr>
            <w:tcW w:w="1417" w:type="dxa"/>
          </w:tcPr>
          <w:p w14:paraId="7AA0A1EF" w14:textId="77777777" w:rsidR="00BB62F4" w:rsidRDefault="00BB62F4">
            <w:pPr>
              <w:spacing w:before="0" w:after="0"/>
            </w:pPr>
          </w:p>
        </w:tc>
        <w:tc>
          <w:tcPr>
            <w:tcW w:w="1276" w:type="dxa"/>
          </w:tcPr>
          <w:p w14:paraId="7F715644" w14:textId="77777777" w:rsidR="00BB62F4" w:rsidRDefault="00BB62F4">
            <w:pPr>
              <w:spacing w:before="0" w:after="0"/>
            </w:pPr>
          </w:p>
        </w:tc>
        <w:tc>
          <w:tcPr>
            <w:tcW w:w="1848" w:type="dxa"/>
          </w:tcPr>
          <w:p w14:paraId="3A076611" w14:textId="77777777" w:rsidR="00BB62F4" w:rsidRDefault="00BB62F4">
            <w:pPr>
              <w:spacing w:before="0" w:after="0"/>
            </w:pPr>
          </w:p>
        </w:tc>
        <w:tc>
          <w:tcPr>
            <w:tcW w:w="1671" w:type="dxa"/>
          </w:tcPr>
          <w:p w14:paraId="48E35B4A" w14:textId="77777777" w:rsidR="00BB62F4" w:rsidRDefault="00BB62F4">
            <w:pPr>
              <w:spacing w:before="0" w:after="0"/>
            </w:pPr>
          </w:p>
        </w:tc>
      </w:tr>
    </w:tbl>
    <w:p w14:paraId="79491818" w14:textId="77777777" w:rsidR="00BB62F4" w:rsidRDefault="00000000">
      <w:pPr>
        <w:rPr>
          <w:b/>
          <w:bCs/>
        </w:rPr>
      </w:pPr>
      <w:r>
        <w:rPr>
          <w:b/>
          <w:bCs/>
        </w:rPr>
        <w:t xml:space="preserve">Or </w:t>
      </w:r>
    </w:p>
    <w:p w14:paraId="042E3CC5" w14:textId="77777777" w:rsidR="00BB62F4" w:rsidRDefault="00000000">
      <w:pPr>
        <w:pBdr>
          <w:top w:val="nil"/>
          <w:left w:val="nil"/>
          <w:bottom w:val="nil"/>
          <w:right w:val="nil"/>
          <w:between w:val="nil"/>
        </w:pBdr>
        <w:spacing w:line="276" w:lineRule="auto"/>
        <w:rPr>
          <w:color w:val="000000"/>
          <w:sz w:val="22"/>
          <w:szCs w:val="22"/>
        </w:rPr>
      </w:pPr>
      <w:r>
        <w:rPr>
          <w:rFonts w:ascii="MS Gothic" w:eastAsia="MS Gothic" w:hAnsi="MS Gothic" w:cs="MS Gothic"/>
          <w:b/>
          <w:bCs/>
          <w:color w:val="000000"/>
        </w:rPr>
        <w:t>☐</w:t>
      </w:r>
      <w:r>
        <w:rPr>
          <w:b/>
          <w:bCs/>
          <w:color w:val="000000"/>
        </w:rPr>
        <w:t xml:space="preserve"> </w:t>
      </w:r>
      <w:r>
        <w:rPr>
          <w:color w:val="000000"/>
        </w:rPr>
        <w:t xml:space="preserve">not applicable </w:t>
      </w:r>
    </w:p>
    <w:tbl>
      <w:tblPr>
        <w:tblStyle w:val="aff1"/>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BB62F4" w14:paraId="6C0CCD52" w14:textId="77777777">
        <w:trPr>
          <w:trHeight w:val="700"/>
        </w:trPr>
        <w:tc>
          <w:tcPr>
            <w:tcW w:w="9067" w:type="dxa"/>
            <w:shd w:val="clear" w:color="auto" w:fill="D9E2F3"/>
          </w:tcPr>
          <w:p w14:paraId="7CDE0257" w14:textId="77777777" w:rsidR="00BB62F4" w:rsidRDefault="00000000">
            <w:pPr>
              <w:pBdr>
                <w:top w:val="nil"/>
                <w:left w:val="nil"/>
                <w:bottom w:val="nil"/>
                <w:right w:val="nil"/>
                <w:between w:val="nil"/>
              </w:pBdr>
              <w:spacing w:line="276" w:lineRule="auto"/>
              <w:rPr>
                <w:color w:val="000000"/>
              </w:rPr>
            </w:pPr>
            <w:r>
              <w:rPr>
                <w:color w:val="000000"/>
              </w:rPr>
              <w:t>Explain why</w:t>
            </w:r>
          </w:p>
        </w:tc>
      </w:tr>
    </w:tbl>
    <w:p w14:paraId="422DBD99" w14:textId="77777777" w:rsidR="00BB62F4" w:rsidRDefault="00000000">
      <w:pPr>
        <w:pStyle w:val="Heading2"/>
        <w:numPr>
          <w:ilvl w:val="0"/>
          <w:numId w:val="69"/>
        </w:numPr>
      </w:pPr>
      <w:bookmarkStart w:id="31" w:name="_heading=h.w3pc2v2c90yc" w:colFirst="0" w:colLast="0"/>
      <w:bookmarkEnd w:id="31"/>
      <w:r>
        <w:t>International Secretariat feedback</w:t>
      </w:r>
    </w:p>
    <w:tbl>
      <w:tblPr>
        <w:tblStyle w:val="aff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600A7CF8" w14:textId="77777777">
        <w:tc>
          <w:tcPr>
            <w:tcW w:w="9062" w:type="dxa"/>
            <w:tcBorders>
              <w:top w:val="nil"/>
              <w:left w:val="nil"/>
              <w:bottom w:val="nil"/>
              <w:right w:val="nil"/>
            </w:tcBorders>
            <w:shd w:val="clear" w:color="auto" w:fill="F2F2F2"/>
          </w:tcPr>
          <w:p w14:paraId="6FCF6554" w14:textId="77777777" w:rsidR="00BB62F4" w:rsidRDefault="00000000">
            <w:pPr>
              <w:rPr>
                <w:i/>
                <w:iCs/>
              </w:rPr>
            </w:pPr>
            <w:r>
              <w:rPr>
                <w:i/>
                <w:iCs/>
              </w:rPr>
              <w:t>To be filled in by the International Secretariat</w:t>
            </w:r>
          </w:p>
          <w:p w14:paraId="026F440D" w14:textId="77777777" w:rsidR="00BB62F4" w:rsidRDefault="00000000">
            <w:pPr>
              <w:rPr>
                <w:i/>
                <w:iCs/>
              </w:rPr>
            </w:pPr>
            <w:r>
              <w:rPr>
                <w:i/>
                <w:iCs/>
              </w:rPr>
              <w:t xml:space="preserve">Observations of comprehensiveness of addressing the aspects, any gaps identified and further clarification needed.  </w:t>
            </w:r>
          </w:p>
          <w:p w14:paraId="01925602" w14:textId="77777777" w:rsidR="00BB62F4" w:rsidRDefault="00BB62F4">
            <w:pPr>
              <w:rPr>
                <w:i/>
                <w:iCs/>
              </w:rPr>
            </w:pPr>
          </w:p>
          <w:tbl>
            <w:tblPr>
              <w:tblStyle w:val="aff3"/>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BB62F4" w14:paraId="359F9A4C" w14:textId="77777777">
              <w:tc>
                <w:tcPr>
                  <w:tcW w:w="3009" w:type="dxa"/>
                </w:tcPr>
                <w:p w14:paraId="65FA2F71" w14:textId="77777777" w:rsidR="00BB62F4" w:rsidRDefault="00000000">
                  <w:r>
                    <w:t>Overview of which contracts and license are publicly available (2.4.c.ii)</w:t>
                  </w:r>
                </w:p>
                <w:p w14:paraId="49FAF309" w14:textId="77777777" w:rsidR="00BB62F4" w:rsidRDefault="00000000">
                  <w:pPr>
                    <w:rPr>
                      <w:i/>
                      <w:iCs/>
                    </w:rPr>
                  </w:pPr>
                  <w:r>
                    <w:rPr>
                      <w:i/>
                      <w:iCs/>
                    </w:rPr>
                    <w:t>Required</w:t>
                  </w:r>
                </w:p>
              </w:tc>
              <w:tc>
                <w:tcPr>
                  <w:tcW w:w="5827" w:type="dxa"/>
                </w:tcPr>
                <w:p w14:paraId="3B4A8A12" w14:textId="77777777" w:rsidR="00BB62F4" w:rsidRDefault="00BB62F4">
                  <w:pPr>
                    <w:rPr>
                      <w:i/>
                      <w:iCs/>
                    </w:rPr>
                  </w:pPr>
                </w:p>
              </w:tc>
            </w:tr>
            <w:tr w:rsidR="00BB62F4" w14:paraId="4B193BFF" w14:textId="77777777">
              <w:tc>
                <w:tcPr>
                  <w:tcW w:w="3009" w:type="dxa"/>
                </w:tcPr>
                <w:p w14:paraId="46EF3392" w14:textId="77777777" w:rsidR="00BB62F4" w:rsidRDefault="00000000">
                  <w:r>
                    <w:t>Contract disclosure (2.4.a)</w:t>
                  </w:r>
                </w:p>
                <w:p w14:paraId="619A3956" w14:textId="77777777" w:rsidR="00BB62F4" w:rsidRDefault="00000000">
                  <w:pPr>
                    <w:rPr>
                      <w:i/>
                      <w:iCs/>
                    </w:rPr>
                  </w:pPr>
                  <w:r>
                    <w:rPr>
                      <w:i/>
                      <w:iCs/>
                    </w:rPr>
                    <w:t>Required</w:t>
                  </w:r>
                </w:p>
              </w:tc>
              <w:tc>
                <w:tcPr>
                  <w:tcW w:w="5827" w:type="dxa"/>
                </w:tcPr>
                <w:p w14:paraId="74967526" w14:textId="77777777" w:rsidR="00BB62F4" w:rsidRDefault="00BB62F4">
                  <w:pPr>
                    <w:rPr>
                      <w:i/>
                      <w:iCs/>
                    </w:rPr>
                  </w:pPr>
                </w:p>
              </w:tc>
            </w:tr>
            <w:tr w:rsidR="00BB62F4" w14:paraId="435E05D0" w14:textId="77777777">
              <w:tc>
                <w:tcPr>
                  <w:tcW w:w="3009" w:type="dxa"/>
                </w:tcPr>
                <w:p w14:paraId="221F95F5" w14:textId="77777777" w:rsidR="00BB62F4" w:rsidRDefault="00000000">
                  <w:r>
                    <w:t>License disclosure (2.4.a)</w:t>
                  </w:r>
                </w:p>
                <w:p w14:paraId="30C89632" w14:textId="77777777" w:rsidR="00BB62F4" w:rsidRDefault="00000000">
                  <w:pPr>
                    <w:rPr>
                      <w:i/>
                      <w:iCs/>
                    </w:rPr>
                  </w:pPr>
                  <w:r>
                    <w:rPr>
                      <w:i/>
                      <w:iCs/>
                    </w:rPr>
                    <w:t>Encouraged</w:t>
                  </w:r>
                </w:p>
              </w:tc>
              <w:tc>
                <w:tcPr>
                  <w:tcW w:w="5827" w:type="dxa"/>
                </w:tcPr>
                <w:p w14:paraId="1A36CCDD" w14:textId="77777777" w:rsidR="00BB62F4" w:rsidRDefault="00BB62F4">
                  <w:pPr>
                    <w:rPr>
                      <w:i/>
                      <w:iCs/>
                    </w:rPr>
                  </w:pPr>
                </w:p>
              </w:tc>
            </w:tr>
            <w:tr w:rsidR="00BB62F4" w14:paraId="1C3AED59" w14:textId="77777777">
              <w:tc>
                <w:tcPr>
                  <w:tcW w:w="3009" w:type="dxa"/>
                </w:tcPr>
                <w:p w14:paraId="0911DA00" w14:textId="77777777" w:rsidR="00BB62F4" w:rsidRDefault="00000000">
                  <w:r>
                    <w:t>Material exploration contracts (2.4.a)</w:t>
                  </w:r>
                </w:p>
                <w:p w14:paraId="0CE4F8E3" w14:textId="77777777" w:rsidR="00BB62F4" w:rsidRDefault="00000000">
                  <w:pPr>
                    <w:rPr>
                      <w:i/>
                      <w:iCs/>
                    </w:rPr>
                  </w:pPr>
                  <w:r>
                    <w:rPr>
                      <w:i/>
                      <w:iCs/>
                    </w:rPr>
                    <w:t>Required</w:t>
                  </w:r>
                </w:p>
              </w:tc>
              <w:tc>
                <w:tcPr>
                  <w:tcW w:w="5827" w:type="dxa"/>
                </w:tcPr>
                <w:p w14:paraId="472CC97F" w14:textId="77777777" w:rsidR="00BB62F4" w:rsidRDefault="00BB62F4">
                  <w:pPr>
                    <w:rPr>
                      <w:i/>
                      <w:iCs/>
                    </w:rPr>
                  </w:pPr>
                </w:p>
              </w:tc>
            </w:tr>
            <w:tr w:rsidR="00BB62F4" w14:paraId="5F00F92A" w14:textId="77777777">
              <w:tc>
                <w:tcPr>
                  <w:tcW w:w="3009" w:type="dxa"/>
                </w:tcPr>
                <w:p w14:paraId="1BB02B81" w14:textId="77777777" w:rsidR="00BB62F4" w:rsidRDefault="00000000">
                  <w:r>
                    <w:t>Definition of scope (2.4.d)</w:t>
                  </w:r>
                </w:p>
                <w:p w14:paraId="5081A1DE" w14:textId="77777777" w:rsidR="00BB62F4" w:rsidRDefault="00000000">
                  <w:pPr>
                    <w:rPr>
                      <w:i/>
                      <w:iCs/>
                    </w:rPr>
                  </w:pPr>
                  <w:r>
                    <w:rPr>
                      <w:i/>
                      <w:iCs/>
                    </w:rPr>
                    <w:t>Required</w:t>
                  </w:r>
                </w:p>
              </w:tc>
              <w:tc>
                <w:tcPr>
                  <w:tcW w:w="5827" w:type="dxa"/>
                </w:tcPr>
                <w:p w14:paraId="182BAFB9" w14:textId="77777777" w:rsidR="00BB62F4" w:rsidRDefault="00BB62F4">
                  <w:pPr>
                    <w:rPr>
                      <w:i/>
                      <w:iCs/>
                    </w:rPr>
                  </w:pPr>
                </w:p>
              </w:tc>
            </w:tr>
            <w:tr w:rsidR="00BB62F4" w14:paraId="0BBB4478" w14:textId="77777777">
              <w:tc>
                <w:tcPr>
                  <w:tcW w:w="3009" w:type="dxa"/>
                </w:tcPr>
                <w:p w14:paraId="4363997F" w14:textId="77777777" w:rsidR="00BB62F4" w:rsidRDefault="00000000">
                  <w:r>
                    <w:t>Contracts and licenses and material exploration contracts prior to 2021 (2.4.a)</w:t>
                  </w:r>
                </w:p>
                <w:p w14:paraId="5F0483C9" w14:textId="77777777" w:rsidR="00BB62F4" w:rsidRDefault="00000000">
                  <w:pPr>
                    <w:rPr>
                      <w:i/>
                      <w:iCs/>
                    </w:rPr>
                  </w:pPr>
                  <w:r>
                    <w:rPr>
                      <w:i/>
                      <w:iCs/>
                    </w:rPr>
                    <w:t>Encouraged</w:t>
                  </w:r>
                </w:p>
              </w:tc>
              <w:tc>
                <w:tcPr>
                  <w:tcW w:w="5827" w:type="dxa"/>
                </w:tcPr>
                <w:p w14:paraId="4B40B061" w14:textId="77777777" w:rsidR="00BB62F4" w:rsidRDefault="00BB62F4">
                  <w:pPr>
                    <w:rPr>
                      <w:i/>
                      <w:iCs/>
                    </w:rPr>
                  </w:pPr>
                </w:p>
              </w:tc>
            </w:tr>
            <w:tr w:rsidR="00BB62F4" w14:paraId="52AC2112" w14:textId="77777777">
              <w:tc>
                <w:tcPr>
                  <w:tcW w:w="3009" w:type="dxa"/>
                </w:tcPr>
                <w:p w14:paraId="2A3E7128" w14:textId="77777777" w:rsidR="00BB62F4" w:rsidRDefault="00000000">
                  <w:r>
                    <w:lastRenderedPageBreak/>
                    <w:t>MSG plan for disclosing contracts and licenses (2.4.b)</w:t>
                  </w:r>
                </w:p>
                <w:p w14:paraId="3887E2E6" w14:textId="77777777" w:rsidR="00BB62F4" w:rsidRDefault="00000000">
                  <w:pPr>
                    <w:rPr>
                      <w:i/>
                      <w:iCs/>
                    </w:rPr>
                  </w:pPr>
                  <w:r>
                    <w:rPr>
                      <w:i/>
                      <w:iCs/>
                    </w:rPr>
                    <w:t>Expected</w:t>
                  </w:r>
                </w:p>
              </w:tc>
              <w:tc>
                <w:tcPr>
                  <w:tcW w:w="5827" w:type="dxa"/>
                </w:tcPr>
                <w:p w14:paraId="50186373" w14:textId="77777777" w:rsidR="00BB62F4" w:rsidRDefault="00BB62F4">
                  <w:pPr>
                    <w:rPr>
                      <w:i/>
                      <w:iCs/>
                    </w:rPr>
                  </w:pPr>
                </w:p>
              </w:tc>
            </w:tr>
            <w:tr w:rsidR="00BB62F4" w14:paraId="1C23D96E" w14:textId="77777777">
              <w:tc>
                <w:tcPr>
                  <w:tcW w:w="3009" w:type="dxa"/>
                </w:tcPr>
                <w:p w14:paraId="307D97C4" w14:textId="77777777" w:rsidR="00BB62F4" w:rsidRDefault="00000000">
                  <w:r>
                    <w:t>Government’s policy or legislation (2.4.c.i)</w:t>
                  </w:r>
                </w:p>
                <w:p w14:paraId="5D340714" w14:textId="77777777" w:rsidR="00BB62F4" w:rsidRDefault="00000000">
                  <w:pPr>
                    <w:rPr>
                      <w:i/>
                      <w:iCs/>
                    </w:rPr>
                  </w:pPr>
                  <w:r>
                    <w:rPr>
                      <w:i/>
                      <w:iCs/>
                    </w:rPr>
                    <w:t>Required</w:t>
                  </w:r>
                </w:p>
              </w:tc>
              <w:tc>
                <w:tcPr>
                  <w:tcW w:w="5827" w:type="dxa"/>
                </w:tcPr>
                <w:p w14:paraId="3000720B" w14:textId="77777777" w:rsidR="00BB62F4" w:rsidRDefault="00BB62F4">
                  <w:pPr>
                    <w:rPr>
                      <w:i/>
                      <w:iCs/>
                    </w:rPr>
                  </w:pPr>
                </w:p>
              </w:tc>
            </w:tr>
            <w:tr w:rsidR="00BB62F4" w14:paraId="16E3129A" w14:textId="77777777">
              <w:tc>
                <w:tcPr>
                  <w:tcW w:w="3009" w:type="dxa"/>
                </w:tcPr>
                <w:p w14:paraId="265904BD" w14:textId="77777777" w:rsidR="00BB62F4" w:rsidRDefault="00000000">
                  <w:r>
                    <w:t>Deviations from legislative or government policy (2.4.c.iii)</w:t>
                  </w:r>
                </w:p>
                <w:p w14:paraId="40178DD8" w14:textId="77777777" w:rsidR="00BB62F4" w:rsidRDefault="00000000">
                  <w:pPr>
                    <w:rPr>
                      <w:i/>
                      <w:iCs/>
                    </w:rPr>
                  </w:pPr>
                  <w:r>
                    <w:rPr>
                      <w:i/>
                      <w:iCs/>
                    </w:rPr>
                    <w:t>Required</w:t>
                  </w:r>
                </w:p>
              </w:tc>
              <w:tc>
                <w:tcPr>
                  <w:tcW w:w="5827" w:type="dxa"/>
                </w:tcPr>
                <w:p w14:paraId="62A9605F" w14:textId="77777777" w:rsidR="00BB62F4" w:rsidRDefault="00BB62F4">
                  <w:pPr>
                    <w:rPr>
                      <w:i/>
                      <w:iCs/>
                    </w:rPr>
                  </w:pPr>
                </w:p>
              </w:tc>
            </w:tr>
            <w:tr w:rsidR="00BB62F4" w14:paraId="38A277CD" w14:textId="77777777">
              <w:tc>
                <w:tcPr>
                  <w:tcW w:w="3009" w:type="dxa"/>
                </w:tcPr>
                <w:p w14:paraId="204D5B9D" w14:textId="77777777" w:rsidR="00BB62F4" w:rsidRDefault="00000000">
                  <w:r>
                    <w:t>Systematic disclosures</w:t>
                  </w:r>
                </w:p>
              </w:tc>
              <w:tc>
                <w:tcPr>
                  <w:tcW w:w="5827" w:type="dxa"/>
                </w:tcPr>
                <w:p w14:paraId="52C05C51" w14:textId="77777777" w:rsidR="00BB62F4" w:rsidRDefault="00BB62F4">
                  <w:pPr>
                    <w:rPr>
                      <w:i/>
                      <w:iCs/>
                    </w:rPr>
                  </w:pPr>
                </w:p>
              </w:tc>
            </w:tr>
            <w:tr w:rsidR="00BB62F4" w14:paraId="46773144" w14:textId="77777777">
              <w:tc>
                <w:tcPr>
                  <w:tcW w:w="3009" w:type="dxa"/>
                </w:tcPr>
                <w:p w14:paraId="4BDACE49" w14:textId="77777777" w:rsidR="00BB62F4" w:rsidRDefault="00000000">
                  <w:r>
                    <w:t>Underlying objectives</w:t>
                  </w:r>
                </w:p>
              </w:tc>
              <w:tc>
                <w:tcPr>
                  <w:tcW w:w="5827" w:type="dxa"/>
                </w:tcPr>
                <w:p w14:paraId="2428A60E" w14:textId="77777777" w:rsidR="00BB62F4" w:rsidRDefault="00BB62F4">
                  <w:pPr>
                    <w:rPr>
                      <w:i/>
                      <w:iCs/>
                    </w:rPr>
                  </w:pPr>
                </w:p>
              </w:tc>
            </w:tr>
            <w:tr w:rsidR="00BB62F4" w14:paraId="4F442DDA" w14:textId="77777777">
              <w:tc>
                <w:tcPr>
                  <w:tcW w:w="3009" w:type="dxa"/>
                </w:tcPr>
                <w:p w14:paraId="65A9D0CC" w14:textId="77777777" w:rsidR="00BB62F4" w:rsidRDefault="00000000">
                  <w:r>
                    <w:t>Any other observations</w:t>
                  </w:r>
                </w:p>
              </w:tc>
              <w:tc>
                <w:tcPr>
                  <w:tcW w:w="5827" w:type="dxa"/>
                </w:tcPr>
                <w:p w14:paraId="3EBC0CCF" w14:textId="77777777" w:rsidR="00BB62F4" w:rsidRDefault="00BB62F4">
                  <w:pPr>
                    <w:rPr>
                      <w:i/>
                      <w:iCs/>
                    </w:rPr>
                  </w:pPr>
                </w:p>
              </w:tc>
            </w:tr>
          </w:tbl>
          <w:p w14:paraId="059FD712" w14:textId="77777777" w:rsidR="00BB62F4" w:rsidRDefault="00BB62F4">
            <w:pPr>
              <w:rPr>
                <w:i/>
                <w:iCs/>
              </w:rPr>
            </w:pPr>
          </w:p>
        </w:tc>
      </w:tr>
      <w:tr w:rsidR="00BB62F4" w14:paraId="127576EC" w14:textId="77777777">
        <w:tc>
          <w:tcPr>
            <w:tcW w:w="9062" w:type="dxa"/>
            <w:tcBorders>
              <w:top w:val="nil"/>
              <w:left w:val="nil"/>
              <w:bottom w:val="nil"/>
              <w:right w:val="nil"/>
            </w:tcBorders>
            <w:shd w:val="clear" w:color="auto" w:fill="F2F2F2"/>
          </w:tcPr>
          <w:p w14:paraId="0D690F1D" w14:textId="77777777" w:rsidR="00BB62F4" w:rsidRDefault="00BB62F4">
            <w:pPr>
              <w:rPr>
                <w:i/>
                <w:iCs/>
              </w:rPr>
            </w:pPr>
          </w:p>
        </w:tc>
      </w:tr>
    </w:tbl>
    <w:p w14:paraId="3F5FF5BB" w14:textId="77777777" w:rsidR="00BB62F4" w:rsidRDefault="00BB62F4"/>
    <w:p w14:paraId="5F62D109" w14:textId="77777777" w:rsidR="00BB62F4" w:rsidRDefault="00000000">
      <w:pPr>
        <w:spacing w:before="0" w:after="0"/>
      </w:pPr>
      <w:r>
        <w:br w:type="page"/>
      </w:r>
    </w:p>
    <w:p w14:paraId="6CFA38C2" w14:textId="77777777" w:rsidR="00BB62F4" w:rsidRDefault="00000000">
      <w:pPr>
        <w:pStyle w:val="Heading1"/>
      </w:pPr>
      <w:bookmarkStart w:id="32" w:name="_heading=h.x44da4nx9rxx" w:colFirst="0" w:colLast="0"/>
      <w:bookmarkEnd w:id="32"/>
      <w:r>
        <w:lastRenderedPageBreak/>
        <w:t>Requirement 2.5: Legal and beneficial ownership</w:t>
      </w:r>
    </w:p>
    <w:p w14:paraId="5660594B" w14:textId="77777777" w:rsidR="00BB62F4" w:rsidRDefault="00000000">
      <w:pPr>
        <w:pStyle w:val="Heading2"/>
        <w:numPr>
          <w:ilvl w:val="0"/>
          <w:numId w:val="3"/>
        </w:numPr>
      </w:pPr>
      <w:bookmarkStart w:id="33" w:name="_heading=h.k8hbqho47geo" w:colFirst="0" w:colLast="0"/>
      <w:bookmarkEnd w:id="33"/>
      <w:r>
        <w:t>Resources</w:t>
      </w:r>
    </w:p>
    <w:tbl>
      <w:tblPr>
        <w:tblStyle w:val="af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5FEEFBD9" w14:textId="77777777">
        <w:tc>
          <w:tcPr>
            <w:tcW w:w="9062" w:type="dxa"/>
            <w:tcBorders>
              <w:top w:val="nil"/>
              <w:left w:val="nil"/>
              <w:bottom w:val="nil"/>
              <w:right w:val="nil"/>
            </w:tcBorders>
            <w:shd w:val="clear" w:color="auto" w:fill="EDF1F9"/>
          </w:tcPr>
          <w:p w14:paraId="494E84F6" w14:textId="77777777" w:rsidR="00BB62F4" w:rsidRDefault="00000000">
            <w:pPr>
              <w:numPr>
                <w:ilvl w:val="0"/>
                <w:numId w:val="68"/>
              </w:numPr>
              <w:pBdr>
                <w:top w:val="nil"/>
                <w:left w:val="nil"/>
                <w:bottom w:val="nil"/>
                <w:right w:val="nil"/>
                <w:between w:val="nil"/>
              </w:pBdr>
              <w:rPr>
                <w:color w:val="000000"/>
              </w:rPr>
            </w:pPr>
            <w:hyperlink r:id="rId156" w:anchor="_5-beneficial-ownership-17296">
              <w:r>
                <w:rPr>
                  <w:color w:val="0000FF"/>
                  <w:u w:val="single"/>
                </w:rPr>
                <w:t>Requirement in full</w:t>
              </w:r>
            </w:hyperlink>
            <w:r>
              <w:rPr>
                <w:color w:val="000000"/>
              </w:rPr>
              <w:t xml:space="preserve">, </w:t>
            </w:r>
            <w:hyperlink r:id="rId157" w:anchor="module-ownership-18987">
              <w:r>
                <w:rPr>
                  <w:color w:val="0000FF"/>
                  <w:u w:val="single"/>
                </w:rPr>
                <w:t>Validation guide</w:t>
              </w:r>
            </w:hyperlink>
          </w:p>
          <w:p w14:paraId="644FAEBA" w14:textId="77777777" w:rsidR="00BB62F4" w:rsidRDefault="00000000">
            <w:pPr>
              <w:numPr>
                <w:ilvl w:val="0"/>
                <w:numId w:val="68"/>
              </w:numPr>
              <w:pBdr>
                <w:top w:val="nil"/>
                <w:left w:val="nil"/>
                <w:bottom w:val="nil"/>
                <w:right w:val="nil"/>
                <w:between w:val="nil"/>
              </w:pBdr>
              <w:rPr>
                <w:color w:val="000000"/>
              </w:rPr>
            </w:pPr>
            <w:r>
              <w:rPr>
                <w:color w:val="000000"/>
              </w:rPr>
              <w:t xml:space="preserve">Guidance notes on </w:t>
            </w:r>
            <w:hyperlink r:id="rId158">
              <w:r>
                <w:rPr>
                  <w:color w:val="0000FF"/>
                  <w:u w:val="single"/>
                </w:rPr>
                <w:t>Beneficial ownership model declaration form</w:t>
              </w:r>
            </w:hyperlink>
            <w:r>
              <w:rPr>
                <w:color w:val="000000"/>
              </w:rPr>
              <w:t xml:space="preserve">, </w:t>
            </w:r>
            <w:hyperlink r:id="rId159">
              <w:r>
                <w:rPr>
                  <w:color w:val="0000FF"/>
                  <w:u w:val="single"/>
                </w:rPr>
                <w:t>Building an auditable record of beneficial ownership</w:t>
              </w:r>
            </w:hyperlink>
            <w:r>
              <w:rPr>
                <w:color w:val="000000"/>
              </w:rPr>
              <w:t xml:space="preserve">, </w:t>
            </w:r>
            <w:hyperlink r:id="rId160">
              <w:r>
                <w:rPr>
                  <w:color w:val="0000FF"/>
                  <w:u w:val="single"/>
                </w:rPr>
                <w:t>Defining and capturing data on the ownership and control of state-owned enterprises</w:t>
              </w:r>
            </w:hyperlink>
            <w:r>
              <w:rPr>
                <w:color w:val="000000"/>
              </w:rPr>
              <w:t xml:space="preserve">, </w:t>
            </w:r>
            <w:hyperlink r:id="rId161">
              <w:r>
                <w:rPr>
                  <w:color w:val="0000FF"/>
                  <w:u w:val="single"/>
                </w:rPr>
                <w:t>MSG oversight of beneficial ownership disclosures</w:t>
              </w:r>
            </w:hyperlink>
          </w:p>
        </w:tc>
      </w:tr>
    </w:tbl>
    <w:p w14:paraId="6E408B59" w14:textId="77777777" w:rsidR="00BB62F4" w:rsidRDefault="00BB62F4"/>
    <w:p w14:paraId="3D2EB52A" w14:textId="77777777" w:rsidR="00BB62F4" w:rsidRDefault="00000000">
      <w:pPr>
        <w:pStyle w:val="Heading2"/>
        <w:numPr>
          <w:ilvl w:val="0"/>
          <w:numId w:val="3"/>
        </w:numPr>
      </w:pPr>
      <w:bookmarkStart w:id="34" w:name="_heading=h.f16gjcz5602l" w:colFirst="0" w:colLast="0"/>
      <w:bookmarkEnd w:id="34"/>
      <w:r>
        <w:t xml:space="preserve">Corrective actions / recommendations from previous Validation </w:t>
      </w:r>
    </w:p>
    <w:p w14:paraId="43E8F263" w14:textId="77777777" w:rsidR="00BB62F4" w:rsidRDefault="00000000">
      <w:pPr>
        <w:pBdr>
          <w:top w:val="nil"/>
          <w:left w:val="nil"/>
          <w:bottom w:val="nil"/>
          <w:right w:val="nil"/>
          <w:between w:val="nil"/>
        </w:pBdr>
        <w:spacing w:before="0" w:after="0" w:line="276" w:lineRule="auto"/>
        <w:rPr>
          <w:color w:val="595959"/>
        </w:rPr>
      </w:pPr>
      <w:r>
        <w:rPr>
          <w:rFonts w:ascii="MS Gothic" w:eastAsia="MS Gothic" w:hAnsi="MS Gothic" w:cs="MS Gothic"/>
          <w:color w:val="595959"/>
        </w:rPr>
        <w:t>ⓘ</w:t>
      </w:r>
      <w:r>
        <w:rPr>
          <w:color w:val="595959"/>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14:paraId="5AA7898B" w14:textId="77777777" w:rsidR="00BB62F4" w:rsidRDefault="00BB62F4">
      <w:pPr>
        <w:pBdr>
          <w:top w:val="nil"/>
          <w:left w:val="nil"/>
          <w:bottom w:val="nil"/>
          <w:right w:val="nil"/>
          <w:between w:val="nil"/>
        </w:pBdr>
        <w:spacing w:before="0" w:after="0" w:line="276" w:lineRule="auto"/>
        <w:rPr>
          <w:color w:val="595959"/>
        </w:rPr>
      </w:pPr>
    </w:p>
    <w:tbl>
      <w:tblPr>
        <w:tblStyle w:val="aff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46DCC8FE" w14:textId="77777777">
        <w:tc>
          <w:tcPr>
            <w:tcW w:w="9062" w:type="dxa"/>
            <w:tcBorders>
              <w:top w:val="nil"/>
              <w:left w:val="nil"/>
              <w:bottom w:val="nil"/>
              <w:right w:val="nil"/>
            </w:tcBorders>
            <w:shd w:val="clear" w:color="auto" w:fill="F2F2F2"/>
          </w:tcPr>
          <w:p w14:paraId="68548192" w14:textId="77777777" w:rsidR="00BB62F4" w:rsidRDefault="00000000">
            <w:pPr>
              <w:pBdr>
                <w:top w:val="nil"/>
                <w:left w:val="nil"/>
                <w:bottom w:val="nil"/>
                <w:right w:val="nil"/>
                <w:between w:val="nil"/>
              </w:pBdr>
              <w:spacing w:line="276" w:lineRule="auto"/>
              <w:rPr>
                <w:color w:val="000000"/>
              </w:rPr>
            </w:pPr>
            <w:r>
              <w:rPr>
                <w:color w:val="000000"/>
              </w:rPr>
              <w:t>Insert recommendation and or corrective action from previous Validation or targeted assessment, if applicable. Indicate the status of addressing the corrective actions, if applicable. If this is a first Validation, this section can be left blank.</w:t>
            </w:r>
          </w:p>
          <w:tbl>
            <w:tblPr>
              <w:tblStyle w:val="aff6"/>
              <w:tblW w:w="8846" w:type="dxa"/>
              <w:tblInd w:w="0" w:type="dxa"/>
              <w:tblLayout w:type="fixed"/>
              <w:tblLook w:val="0400" w:firstRow="0" w:lastRow="0" w:firstColumn="0" w:lastColumn="0" w:noHBand="0" w:noVBand="1"/>
            </w:tblPr>
            <w:tblGrid>
              <w:gridCol w:w="8846"/>
            </w:tblGrid>
            <w:tr w:rsidR="00BB62F4" w14:paraId="647432CE" w14:textId="77777777">
              <w:tc>
                <w:tcPr>
                  <w:tcW w:w="8846" w:type="dxa"/>
                  <w:shd w:val="clear" w:color="auto" w:fill="F2F2F2"/>
                  <w:tcMar>
                    <w:top w:w="0" w:type="dxa"/>
                    <w:left w:w="108" w:type="dxa"/>
                    <w:bottom w:w="0" w:type="dxa"/>
                    <w:right w:w="108" w:type="dxa"/>
                  </w:tcMar>
                </w:tcPr>
                <w:p w14:paraId="0CFBA358"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sz w:val="24"/>
                      <w:szCs w:val="24"/>
                    </w:rPr>
                    <w:t>Requirement 2.5: Corrective Action</w:t>
                  </w:r>
                </w:p>
                <w:p w14:paraId="2CB630A0"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sz w:val="24"/>
                      <w:szCs w:val="24"/>
                    </w:rPr>
                    <w:t>Nigeria is required to disclose the beneficial owners of all companies holding or applying for extractive licenses, particularly for all extractive companies considered as ‘high risk’ by Nigeria EITI in recognition of the fact that minor gaps in public disclosure of beneficial ownership for ‘low risk’ companies may persist amidst continuous government efforts to ensure comprehensive disclosure of beneficial ownership data for extractives companies. Nigeria should ensure that the identity of any politically exposed person that is a beneficial owner of extractives companies be disclosed, regardless of the level of ownership. Nigeria is encouraged to continue efforts to enhance compliance with beneficial ownership disclosure requirements, both in the extractive industries and in other sectors. Nigeria could consider ways of integrating its various beneficial ownership registers built by different government agencies to improve the efficiency, comprehensiveness, and accuracy of ownership disclosures. Nigeria is required to ensure that the legal owners of all companies holding licenses or contracts in the mining, oil and gas sectors are publicly disclosed. The government is encouraged to strengthen its approach to implementing data.</w:t>
                  </w:r>
                </w:p>
              </w:tc>
            </w:tr>
          </w:tbl>
          <w:p w14:paraId="58CDEA04" w14:textId="77777777" w:rsidR="00BB62F4" w:rsidRDefault="00BB62F4">
            <w:pPr>
              <w:pBdr>
                <w:top w:val="nil"/>
                <w:left w:val="nil"/>
                <w:bottom w:val="nil"/>
                <w:right w:val="nil"/>
                <w:between w:val="nil"/>
              </w:pBdr>
              <w:spacing w:line="276" w:lineRule="auto"/>
              <w:rPr>
                <w:color w:val="000000"/>
              </w:rPr>
            </w:pPr>
          </w:p>
          <w:p w14:paraId="6E978BD8" w14:textId="77777777" w:rsidR="00BB62F4" w:rsidRDefault="00BB62F4">
            <w:pPr>
              <w:pBdr>
                <w:top w:val="nil"/>
                <w:left w:val="nil"/>
                <w:bottom w:val="nil"/>
                <w:right w:val="nil"/>
                <w:between w:val="nil"/>
              </w:pBdr>
              <w:spacing w:line="276" w:lineRule="auto"/>
              <w:rPr>
                <w:color w:val="000000"/>
              </w:rPr>
            </w:pPr>
          </w:p>
        </w:tc>
      </w:tr>
    </w:tbl>
    <w:p w14:paraId="1F1784ED" w14:textId="77777777" w:rsidR="00BB62F4" w:rsidRDefault="00000000">
      <w:pPr>
        <w:pStyle w:val="Heading2"/>
        <w:numPr>
          <w:ilvl w:val="0"/>
          <w:numId w:val="3"/>
        </w:numPr>
      </w:pPr>
      <w:bookmarkStart w:id="35" w:name="_heading=h.7aj0tr6zdh29" w:colFirst="0" w:colLast="0"/>
      <w:bookmarkEnd w:id="35"/>
      <w:r>
        <w:lastRenderedPageBreak/>
        <w:t>Self-assessment</w:t>
      </w:r>
    </w:p>
    <w:p w14:paraId="64534AF7" w14:textId="77777777" w:rsidR="00BB62F4" w:rsidRDefault="00000000">
      <w:pPr>
        <w:pBdr>
          <w:top w:val="nil"/>
          <w:left w:val="nil"/>
          <w:bottom w:val="nil"/>
          <w:right w:val="nil"/>
          <w:between w:val="nil"/>
        </w:pBdr>
        <w:spacing w:before="0" w:after="0" w:line="276" w:lineRule="auto"/>
        <w:rPr>
          <w:color w:val="595959"/>
        </w:rPr>
      </w:pPr>
      <w:r>
        <w:rPr>
          <w:rFonts w:ascii="MS Mincho" w:eastAsia="MS Mincho" w:hAnsi="MS Mincho" w:cs="MS Mincho"/>
          <w:color w:val="595959"/>
          <w:sz w:val="18"/>
          <w:szCs w:val="18"/>
        </w:rPr>
        <w:t xml:space="preserve">ⓘ </w:t>
      </w:r>
      <w:r>
        <w:rPr>
          <w:color w:val="595959"/>
        </w:rPr>
        <w:t>The self-assessment allows the MSG to understand the aspects of the requirement and estimate its progress towards meeting it.</w:t>
      </w:r>
      <w:r>
        <w:rPr>
          <w:color w:val="595959"/>
          <w:sz w:val="18"/>
          <w:szCs w:val="18"/>
        </w:rPr>
        <w:t xml:space="preserve"> </w:t>
      </w:r>
      <w:r>
        <w:rPr>
          <w:color w:val="595959"/>
        </w:rPr>
        <w:t xml:space="preserve">Diverging views within the constituency or between constituencies can be documented in the form. </w:t>
      </w:r>
    </w:p>
    <w:p w14:paraId="6A6FE1E2" w14:textId="77777777" w:rsidR="00BB62F4" w:rsidRDefault="00BB62F4">
      <w:pPr>
        <w:pBdr>
          <w:top w:val="nil"/>
          <w:left w:val="nil"/>
          <w:bottom w:val="nil"/>
          <w:right w:val="nil"/>
          <w:between w:val="nil"/>
        </w:pBdr>
        <w:spacing w:before="0" w:after="0" w:line="276" w:lineRule="auto"/>
        <w:rPr>
          <w:color w:val="595959"/>
        </w:rPr>
      </w:pPr>
    </w:p>
    <w:p w14:paraId="61399A7A" w14:textId="77777777" w:rsidR="00BB62F4" w:rsidRDefault="00000000">
      <w:pPr>
        <w:pStyle w:val="Heading3"/>
      </w:pPr>
      <w:bookmarkStart w:id="36" w:name="_heading=h.hwv70qto27sh" w:colFirst="0" w:colLast="0"/>
      <w:bookmarkEnd w:id="36"/>
      <w:r>
        <w:t>Holders of information</w:t>
      </w:r>
    </w:p>
    <w:p w14:paraId="79E8326D" w14:textId="77777777" w:rsidR="00BB62F4" w:rsidRDefault="00000000">
      <w:pPr>
        <w:spacing w:line="276" w:lineRule="auto"/>
        <w:rPr>
          <w:color w:val="595959"/>
        </w:rPr>
      </w:pPr>
      <w:r>
        <w:rPr>
          <w:rFonts w:ascii="MS Gothic" w:eastAsia="MS Gothic" w:hAnsi="MS Gothic" w:cs="MS Gothic"/>
          <w:color w:val="7F7F7F"/>
        </w:rPr>
        <w:t>ⓘ</w:t>
      </w:r>
      <w:r>
        <w:rPr>
          <w:color w:val="7F7F7F"/>
        </w:rPr>
        <w:t xml:space="preserve"> </w:t>
      </w:r>
      <w:r>
        <w:rPr>
          <w:color w:val="595959"/>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14:paraId="5BE38651" w14:textId="77777777" w:rsidR="00BB62F4" w:rsidRDefault="00BB62F4">
      <w:pPr>
        <w:rPr>
          <w:i/>
          <w:iCs/>
        </w:rPr>
      </w:pPr>
    </w:p>
    <w:tbl>
      <w:tblPr>
        <w:tblStyle w:val="aff7"/>
        <w:tblW w:w="9072" w:type="dxa"/>
        <w:tblInd w:w="0" w:type="dxa"/>
        <w:tblLayout w:type="fixed"/>
        <w:tblLook w:val="0400" w:firstRow="0" w:lastRow="0" w:firstColumn="0" w:lastColumn="0" w:noHBand="0" w:noVBand="1"/>
      </w:tblPr>
      <w:tblGrid>
        <w:gridCol w:w="1985"/>
        <w:gridCol w:w="4104"/>
        <w:gridCol w:w="2983"/>
      </w:tblGrid>
      <w:tr w:rsidR="00BB62F4" w14:paraId="0CDCF193" w14:textId="77777777">
        <w:trPr>
          <w:trHeight w:val="476"/>
        </w:trPr>
        <w:tc>
          <w:tcPr>
            <w:tcW w:w="1985" w:type="dxa"/>
            <w:tcBorders>
              <w:bottom w:val="single" w:sz="4" w:space="0" w:color="000000"/>
            </w:tcBorders>
            <w:shd w:val="clear" w:color="auto" w:fill="B4C6E7"/>
          </w:tcPr>
          <w:p w14:paraId="42A4C20B" w14:textId="77777777" w:rsidR="00BB62F4" w:rsidRDefault="00BB62F4">
            <w:pPr>
              <w:rPr>
                <w:b/>
                <w:bCs/>
              </w:rPr>
            </w:pPr>
          </w:p>
        </w:tc>
        <w:tc>
          <w:tcPr>
            <w:tcW w:w="4104" w:type="dxa"/>
            <w:tcBorders>
              <w:bottom w:val="single" w:sz="4" w:space="0" w:color="000000"/>
            </w:tcBorders>
            <w:shd w:val="clear" w:color="auto" w:fill="B4C6E7"/>
          </w:tcPr>
          <w:p w14:paraId="45B4FA0F" w14:textId="77777777" w:rsidR="00BB62F4" w:rsidRDefault="00000000">
            <w:pPr>
              <w:rPr>
                <w:b/>
                <w:bCs/>
              </w:rPr>
            </w:pPr>
            <w:r>
              <w:rPr>
                <w:b/>
                <w:bCs/>
              </w:rPr>
              <w:t>Question</w:t>
            </w:r>
          </w:p>
        </w:tc>
        <w:tc>
          <w:tcPr>
            <w:tcW w:w="2983" w:type="dxa"/>
            <w:tcBorders>
              <w:bottom w:val="single" w:sz="4" w:space="0" w:color="000000"/>
            </w:tcBorders>
            <w:shd w:val="clear" w:color="auto" w:fill="B4C6E7"/>
          </w:tcPr>
          <w:p w14:paraId="4AE9F807" w14:textId="77777777" w:rsidR="00BB62F4" w:rsidRDefault="00000000">
            <w:pPr>
              <w:rPr>
                <w:b/>
                <w:bCs/>
              </w:rPr>
            </w:pPr>
            <w:r>
              <w:rPr>
                <w:b/>
                <w:bCs/>
              </w:rPr>
              <w:t>Response</w:t>
            </w:r>
          </w:p>
        </w:tc>
      </w:tr>
      <w:tr w:rsidR="00BB62F4" w14:paraId="1F81F904" w14:textId="77777777">
        <w:trPr>
          <w:trHeight w:val="1408"/>
        </w:trPr>
        <w:tc>
          <w:tcPr>
            <w:tcW w:w="1985" w:type="dxa"/>
            <w:tcBorders>
              <w:top w:val="single" w:sz="4" w:space="0" w:color="000000"/>
              <w:bottom w:val="single" w:sz="4" w:space="0" w:color="000000"/>
            </w:tcBorders>
          </w:tcPr>
          <w:p w14:paraId="132C3D64" w14:textId="77777777" w:rsidR="00BB62F4" w:rsidRDefault="00000000">
            <w:pPr>
              <w:rPr>
                <w:b/>
                <w:bCs/>
              </w:rPr>
            </w:pPr>
            <w:r>
              <w:rPr>
                <w:b/>
                <w:bCs/>
              </w:rPr>
              <w:t>Register of legal owners (2.5.g)</w:t>
            </w:r>
          </w:p>
        </w:tc>
        <w:tc>
          <w:tcPr>
            <w:tcW w:w="4104" w:type="dxa"/>
            <w:tcBorders>
              <w:top w:val="single" w:sz="4" w:space="0" w:color="000000"/>
              <w:bottom w:val="single" w:sz="4" w:space="0" w:color="000000"/>
            </w:tcBorders>
          </w:tcPr>
          <w:p w14:paraId="233BE685" w14:textId="77777777" w:rsidR="00BB62F4" w:rsidRDefault="00000000">
            <w:r>
              <w:t xml:space="preserve">Which </w:t>
            </w:r>
            <w:r>
              <w:rPr>
                <w:b/>
                <w:bCs/>
              </w:rPr>
              <w:t>government entity(</w:t>
            </w:r>
            <w:proofErr w:type="spellStart"/>
            <w:r>
              <w:rPr>
                <w:b/>
                <w:bCs/>
              </w:rPr>
              <w:t>ies</w:t>
            </w:r>
            <w:proofErr w:type="spellEnd"/>
            <w:r>
              <w:rPr>
                <w:b/>
                <w:bCs/>
              </w:rPr>
              <w:t>)</w:t>
            </w:r>
            <w:r>
              <w:t xml:space="preserve"> is responsible for maintaining a </w:t>
            </w:r>
            <w:r>
              <w:rPr>
                <w:b/>
                <w:bCs/>
              </w:rPr>
              <w:t>company register</w:t>
            </w:r>
            <w:r>
              <w:t xml:space="preserve"> or collecting and holding information on legal owners of companies operating in the </w:t>
            </w:r>
            <w:r>
              <w:rPr>
                <w:b/>
                <w:bCs/>
                <w:color w:val="C00000"/>
              </w:rPr>
              <w:t>Oil and gas</w:t>
            </w:r>
            <w:r>
              <w:t xml:space="preserve"> sector?</w:t>
            </w:r>
          </w:p>
        </w:tc>
        <w:tc>
          <w:tcPr>
            <w:tcW w:w="2983" w:type="dxa"/>
            <w:tcBorders>
              <w:top w:val="single" w:sz="4" w:space="0" w:color="000000"/>
              <w:bottom w:val="single" w:sz="4" w:space="0" w:color="000000"/>
            </w:tcBorders>
          </w:tcPr>
          <w:p w14:paraId="4C0730D7" w14:textId="77777777" w:rsidR="00BB62F4" w:rsidRDefault="00000000">
            <w:r>
              <w:rPr>
                <w:shd w:val="clear" w:color="auto" w:fill="D9E2F3"/>
              </w:rPr>
              <w:t xml:space="preserve">Holder(s) of information: </w:t>
            </w:r>
            <w:r>
              <w:rPr>
                <w:i/>
                <w:iCs/>
                <w:shd w:val="clear" w:color="auto" w:fill="D9E2F3"/>
              </w:rPr>
              <w:t>please specify</w:t>
            </w:r>
            <w:r>
              <w:t>:</w:t>
            </w:r>
          </w:p>
          <w:p w14:paraId="4AE98E9B" w14:textId="77777777"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rPr>
              <w:t>Generally, several government entity(</w:t>
            </w:r>
            <w:proofErr w:type="spellStart"/>
            <w:r>
              <w:rPr>
                <w:rFonts w:ascii="EB Garamond" w:eastAsia="EB Garamond" w:hAnsi="EB Garamond" w:cs="EB Garamond"/>
                <w:color w:val="000000"/>
              </w:rPr>
              <w:t>ies</w:t>
            </w:r>
            <w:proofErr w:type="spellEnd"/>
            <w:r>
              <w:rPr>
                <w:rFonts w:ascii="EB Garamond" w:eastAsia="EB Garamond" w:hAnsi="EB Garamond" w:cs="EB Garamond"/>
                <w:color w:val="000000"/>
              </w:rPr>
              <w:t>) in Nigeria are involved in company registration and in collecting and maintaining information about legal and beneficial owners of companies operating in the oil and gas sector, they are distributed under different laws and sector specific regulations:</w:t>
            </w:r>
          </w:p>
          <w:p w14:paraId="7D10BCBA" w14:textId="77777777" w:rsidR="00BB62F4" w:rsidRDefault="00000000">
            <w:pPr>
              <w:numPr>
                <w:ilvl w:val="0"/>
                <w:numId w:val="47"/>
              </w:numPr>
              <w:pBdr>
                <w:top w:val="nil"/>
                <w:left w:val="nil"/>
                <w:bottom w:val="nil"/>
                <w:right w:val="nil"/>
                <w:between w:val="nil"/>
              </w:pBdr>
              <w:jc w:val="both"/>
              <w:rPr>
                <w:rFonts w:ascii="EB Garamond" w:eastAsia="EB Garamond" w:hAnsi="EB Garamond" w:cs="EB Garamond"/>
                <w:color w:val="000000"/>
                <w:sz w:val="24"/>
                <w:szCs w:val="24"/>
              </w:rPr>
            </w:pPr>
            <w:r>
              <w:rPr>
                <w:rFonts w:ascii="EB Garamond Medium" w:eastAsia="EB Garamond Medium" w:hAnsi="EB Garamond Medium" w:cs="EB Garamond Medium"/>
                <w:color w:val="000000"/>
                <w:shd w:val="clear" w:color="auto" w:fill="D9E2F3"/>
              </w:rPr>
              <w:t xml:space="preserve">Corporate Affairs Commission (CAC); is the primary registrar in Nigeria responsible for incorporation and regulations of all companies under Companies and Allied Matters Act (CAMA) 2020, collecting and holding information about legal owners (shareholders, directors) of companies registered in Nigeria, maintaining a Beneficial Ownership Register under CAMA 2020 and associated Persons with Significant Control (PSC) rules. This register requires companies to disclose individuals who </w:t>
            </w:r>
            <w:r>
              <w:rPr>
                <w:rFonts w:ascii="EB Garamond Medium" w:eastAsia="EB Garamond Medium" w:hAnsi="EB Garamond Medium" w:cs="EB Garamond Medium"/>
                <w:color w:val="000000"/>
                <w:shd w:val="clear" w:color="auto" w:fill="D9E2F3"/>
              </w:rPr>
              <w:lastRenderedPageBreak/>
              <w:t>ultimately own or control them (e.g., those holding ≥ 5% or significant control</w:t>
            </w:r>
            <w:r>
              <w:rPr>
                <w:rFonts w:ascii="EB Garamond" w:eastAsia="EB Garamond" w:hAnsi="EB Garamond" w:cs="EB Garamond"/>
                <w:color w:val="000000"/>
                <w:sz w:val="24"/>
                <w:szCs w:val="24"/>
                <w:shd w:val="clear" w:color="auto" w:fill="D9E2F3"/>
              </w:rPr>
              <w:t>).</w:t>
            </w:r>
          </w:p>
          <w:p w14:paraId="06252568" w14:textId="77777777" w:rsidR="00BB62F4" w:rsidRDefault="00000000">
            <w:pPr>
              <w:numPr>
                <w:ilvl w:val="0"/>
                <w:numId w:val="47"/>
              </w:numPr>
              <w:spacing w:before="0" w:after="0"/>
              <w:jc w:val="both"/>
              <w:rPr>
                <w:rFonts w:ascii="EB Garamond" w:eastAsia="EB Garamond" w:hAnsi="EB Garamond" w:cs="EB Garamond"/>
                <w:color w:val="000000"/>
              </w:rPr>
            </w:pPr>
            <w:r>
              <w:rPr>
                <w:rFonts w:ascii="EB Garamond" w:eastAsia="EB Garamond" w:hAnsi="EB Garamond" w:cs="EB Garamond"/>
                <w:color w:val="000000"/>
                <w:shd w:val="clear" w:color="auto" w:fill="D9E2F3"/>
              </w:rPr>
              <w:t>Nigerian Upstream Petroleum Regulatory Commission mandated under the Petroleum Industry Act (PIA) 2021 (Section 4) as the sector regulator for upstream oil and gas: collects and maintains Beneficial Ownership information for license and lease holders in the oil and gas sector.</w:t>
            </w:r>
          </w:p>
          <w:p w14:paraId="5A18C7BE" w14:textId="77777777" w:rsidR="00BB62F4" w:rsidRDefault="00000000">
            <w:pPr>
              <w:numPr>
                <w:ilvl w:val="0"/>
                <w:numId w:val="46"/>
              </w:numPr>
              <w:jc w:val="both"/>
              <w:rPr>
                <w:rFonts w:ascii="EB Garamond" w:eastAsia="EB Garamond" w:hAnsi="EB Garamond" w:cs="EB Garamond"/>
                <w:color w:val="000000"/>
              </w:rPr>
            </w:pPr>
            <w:r>
              <w:rPr>
                <w:rFonts w:ascii="EB Garamond" w:eastAsia="EB Garamond" w:hAnsi="EB Garamond" w:cs="EB Garamond"/>
                <w:color w:val="000000"/>
                <w:shd w:val="clear" w:color="auto" w:fill="D9E2F3"/>
              </w:rPr>
              <w:t xml:space="preserve">Nigeria Extractive Industries Transparency Initiative (NEITI) Publishes transparency oriented </w:t>
            </w:r>
            <w:hyperlink r:id="rId162">
              <w:r>
                <w:rPr>
                  <w:rFonts w:ascii="EB Garamond" w:eastAsia="EB Garamond" w:hAnsi="EB Garamond" w:cs="EB Garamond"/>
                  <w:color w:val="0000FF"/>
                  <w:u w:val="single"/>
                  <w:shd w:val="clear" w:color="auto" w:fill="D9E2F3"/>
                </w:rPr>
                <w:t>beneficial ownership information</w:t>
              </w:r>
            </w:hyperlink>
            <w:r>
              <w:rPr>
                <w:rFonts w:ascii="EB Garamond" w:eastAsia="EB Garamond" w:hAnsi="EB Garamond" w:cs="EB Garamond"/>
                <w:color w:val="000000"/>
                <w:shd w:val="clear" w:color="auto" w:fill="D9E2F3"/>
              </w:rPr>
              <w:t xml:space="preserve"> for extractive industries (oil, gas and mining) in collaboration with CAC and NUPRC</w:t>
            </w:r>
          </w:p>
          <w:p w14:paraId="03B3B060" w14:textId="77777777" w:rsidR="00BB62F4" w:rsidRDefault="00BB62F4">
            <w:pPr>
              <w:rPr>
                <w:shd w:val="clear" w:color="auto" w:fill="D9E2F3"/>
              </w:rPr>
            </w:pPr>
          </w:p>
        </w:tc>
      </w:tr>
      <w:tr w:rsidR="00BB62F4" w14:paraId="36242BC7" w14:textId="77777777">
        <w:trPr>
          <w:trHeight w:val="1055"/>
        </w:trPr>
        <w:tc>
          <w:tcPr>
            <w:tcW w:w="1985" w:type="dxa"/>
            <w:tcBorders>
              <w:top w:val="single" w:sz="4" w:space="0" w:color="000000"/>
              <w:bottom w:val="single" w:sz="4" w:space="0" w:color="000000"/>
            </w:tcBorders>
          </w:tcPr>
          <w:p w14:paraId="583AD363" w14:textId="77777777" w:rsidR="00BB62F4" w:rsidRDefault="00000000">
            <w:pPr>
              <w:rPr>
                <w:b/>
                <w:bCs/>
              </w:rPr>
            </w:pPr>
            <w:r>
              <w:rPr>
                <w:b/>
                <w:bCs/>
              </w:rPr>
              <w:lastRenderedPageBreak/>
              <w:t>Government’s policy on beneficial ownership disclosure (2.5.b)</w:t>
            </w:r>
          </w:p>
        </w:tc>
        <w:tc>
          <w:tcPr>
            <w:tcW w:w="4104" w:type="dxa"/>
            <w:tcBorders>
              <w:top w:val="single" w:sz="4" w:space="0" w:color="000000"/>
              <w:bottom w:val="single" w:sz="4" w:space="0" w:color="000000"/>
            </w:tcBorders>
          </w:tcPr>
          <w:p w14:paraId="63CC5AFF" w14:textId="77777777" w:rsidR="00BB62F4" w:rsidRDefault="00000000">
            <w:r>
              <w:t xml:space="preserve">Which </w:t>
            </w:r>
            <w:r>
              <w:rPr>
                <w:b/>
                <w:bCs/>
              </w:rPr>
              <w:t>government entity(</w:t>
            </w:r>
            <w:proofErr w:type="spellStart"/>
            <w:r>
              <w:rPr>
                <w:b/>
                <w:bCs/>
              </w:rPr>
              <w:t>ies</w:t>
            </w:r>
            <w:proofErr w:type="spellEnd"/>
            <w:r>
              <w:rPr>
                <w:b/>
                <w:bCs/>
              </w:rPr>
              <w:t>)</w:t>
            </w:r>
            <w:r>
              <w:t xml:space="preserve"> is responsible for government’s </w:t>
            </w:r>
            <w:r>
              <w:rPr>
                <w:b/>
                <w:bCs/>
              </w:rPr>
              <w:t>policy</w:t>
            </w:r>
            <w:r>
              <w:t xml:space="preserve"> on beneficial ownership disclosure in the </w:t>
            </w:r>
            <w:r>
              <w:rPr>
                <w:b/>
                <w:bCs/>
                <w:color w:val="C00000"/>
              </w:rPr>
              <w:t>Oil and gas</w:t>
            </w:r>
            <w:r>
              <w:t xml:space="preserve"> sector? </w:t>
            </w:r>
          </w:p>
        </w:tc>
        <w:tc>
          <w:tcPr>
            <w:tcW w:w="2983" w:type="dxa"/>
            <w:tcBorders>
              <w:top w:val="single" w:sz="4" w:space="0" w:color="000000"/>
              <w:bottom w:val="single" w:sz="4" w:space="0" w:color="000000"/>
            </w:tcBorders>
          </w:tcPr>
          <w:p w14:paraId="31CBE744" w14:textId="77777777" w:rsidR="00BB62F4" w:rsidRDefault="00000000">
            <w:r>
              <w:rPr>
                <w:shd w:val="clear" w:color="auto" w:fill="D9E2F3"/>
              </w:rPr>
              <w:t xml:space="preserve">Holder(s) of information: </w:t>
            </w:r>
            <w:r>
              <w:rPr>
                <w:i/>
                <w:iCs/>
                <w:shd w:val="clear" w:color="auto" w:fill="D9E2F3"/>
              </w:rPr>
              <w:t>please specify</w:t>
            </w:r>
            <w:r>
              <w:t xml:space="preserve">: </w:t>
            </w:r>
            <w:hyperlink r:id="rId163">
              <w:r>
                <w:rPr>
                  <w:color w:val="0000FF"/>
                  <w:u w:val="single"/>
                </w:rPr>
                <w:t>NUPRC</w:t>
              </w:r>
            </w:hyperlink>
          </w:p>
          <w:p w14:paraId="7673F47D" w14:textId="77777777"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rPr>
              <w:t>Nigerian Upstream Petroleum Regulatory Commission (NUPRC) is the primary regulator for upstream oil and gas industry under the Petroleum Industry Act (PIA) 2021. NUPRC is mandated to collect, maintain and enforce disclosure of Beneficial Ownership information from oil and gas companies holding licences, leases and contracts. Several other governments entity(</w:t>
            </w:r>
            <w:proofErr w:type="spellStart"/>
            <w:r>
              <w:rPr>
                <w:rFonts w:ascii="EB Garamond" w:eastAsia="EB Garamond" w:hAnsi="EB Garamond" w:cs="EB Garamond"/>
                <w:color w:val="000000"/>
              </w:rPr>
              <w:t>ies</w:t>
            </w:r>
            <w:proofErr w:type="spellEnd"/>
            <w:r>
              <w:rPr>
                <w:rFonts w:ascii="EB Garamond" w:eastAsia="EB Garamond" w:hAnsi="EB Garamond" w:cs="EB Garamond"/>
                <w:color w:val="000000"/>
              </w:rPr>
              <w:t xml:space="preserve">) play supporting roles in policy coordination, policy implementation, oversight, promotes public disclosure and data management related to Beneficial </w:t>
            </w:r>
            <w:r>
              <w:rPr>
                <w:rFonts w:ascii="EB Garamond" w:eastAsia="EB Garamond" w:hAnsi="EB Garamond" w:cs="EB Garamond"/>
                <w:color w:val="000000"/>
              </w:rPr>
              <w:lastRenderedPageBreak/>
              <w:t>Ownership. This government entity(</w:t>
            </w:r>
            <w:proofErr w:type="spellStart"/>
            <w:r>
              <w:rPr>
                <w:rFonts w:ascii="EB Garamond" w:eastAsia="EB Garamond" w:hAnsi="EB Garamond" w:cs="EB Garamond"/>
                <w:color w:val="000000"/>
              </w:rPr>
              <w:t>ies</w:t>
            </w:r>
            <w:proofErr w:type="spellEnd"/>
            <w:r>
              <w:rPr>
                <w:rFonts w:ascii="EB Garamond" w:eastAsia="EB Garamond" w:hAnsi="EB Garamond" w:cs="EB Garamond"/>
                <w:color w:val="000000"/>
              </w:rPr>
              <w:t>) include:</w:t>
            </w:r>
          </w:p>
          <w:p w14:paraId="597768FA" w14:textId="77777777" w:rsidR="00BB62F4" w:rsidRDefault="00000000">
            <w:pPr>
              <w:numPr>
                <w:ilvl w:val="0"/>
                <w:numId w:val="48"/>
              </w:numPr>
              <w:jc w:val="both"/>
              <w:rPr>
                <w:rFonts w:ascii="EB Garamond" w:eastAsia="EB Garamond" w:hAnsi="EB Garamond" w:cs="EB Garamond"/>
                <w:color w:val="000000"/>
              </w:rPr>
            </w:pPr>
            <w:r>
              <w:rPr>
                <w:rFonts w:ascii="EB Garamond" w:eastAsia="EB Garamond" w:hAnsi="EB Garamond" w:cs="EB Garamond"/>
                <w:color w:val="000000"/>
              </w:rPr>
              <w:t>CAC under the Companies Allied</w:t>
            </w:r>
          </w:p>
          <w:p w14:paraId="55032B8A" w14:textId="77777777" w:rsidR="00BB62F4" w:rsidRDefault="00000000">
            <w:pPr>
              <w:numPr>
                <w:ilvl w:val="0"/>
                <w:numId w:val="48"/>
              </w:numPr>
              <w:jc w:val="both"/>
              <w:rPr>
                <w:rFonts w:ascii="EB Garamond" w:eastAsia="EB Garamond" w:hAnsi="EB Garamond" w:cs="EB Garamond"/>
                <w:color w:val="000000"/>
              </w:rPr>
            </w:pPr>
            <w:r>
              <w:rPr>
                <w:rFonts w:ascii="EB Garamond" w:eastAsia="EB Garamond" w:hAnsi="EB Garamond" w:cs="EB Garamond"/>
                <w:color w:val="000000"/>
              </w:rPr>
              <w:t>Matters Act (CAMA) 2020 maintains a public beneficial ownership register for companies and captures persons with significant control.</w:t>
            </w:r>
          </w:p>
          <w:p w14:paraId="75AA3C79" w14:textId="77777777" w:rsidR="00BB62F4" w:rsidRDefault="00000000">
            <w:pPr>
              <w:numPr>
                <w:ilvl w:val="0"/>
                <w:numId w:val="48"/>
              </w:numPr>
              <w:jc w:val="both"/>
              <w:rPr>
                <w:rFonts w:ascii="EB Garamond" w:eastAsia="EB Garamond" w:hAnsi="EB Garamond" w:cs="EB Garamond"/>
                <w:color w:val="000000"/>
              </w:rPr>
            </w:pPr>
            <w:r>
              <w:rPr>
                <w:rFonts w:ascii="EB Garamond" w:eastAsia="EB Garamond" w:hAnsi="EB Garamond" w:cs="EB Garamond"/>
                <w:color w:val="000000"/>
              </w:rPr>
              <w:t>NEITI as a government mandated multi-stakeholder body provides oversight, support policy implementation, promotes public disclosure and coordinates with regulators like NUPRC and CAC under the EITI Standards</w:t>
            </w:r>
          </w:p>
          <w:p w14:paraId="1EDEEB04" w14:textId="77777777" w:rsidR="00BB62F4" w:rsidRDefault="00000000">
            <w:pPr>
              <w:numPr>
                <w:ilvl w:val="0"/>
                <w:numId w:val="48"/>
              </w:numPr>
              <w:jc w:val="both"/>
              <w:rPr>
                <w:rFonts w:ascii="EB Garamond" w:eastAsia="EB Garamond" w:hAnsi="EB Garamond" w:cs="EB Garamond"/>
                <w:color w:val="000000"/>
              </w:rPr>
            </w:pPr>
            <w:r>
              <w:rPr>
                <w:rFonts w:ascii="EB Garamond" w:eastAsia="EB Garamond" w:hAnsi="EB Garamond" w:cs="EB Garamond"/>
                <w:color w:val="000000"/>
              </w:rPr>
              <w:t xml:space="preserve">Office of the Attorney General, Ministry of Justice, Federal Inland Revenue (FIRS), Central Bank of </w:t>
            </w:r>
            <w:proofErr w:type="gramStart"/>
            <w:r>
              <w:rPr>
                <w:rFonts w:ascii="EB Garamond" w:eastAsia="EB Garamond" w:hAnsi="EB Garamond" w:cs="EB Garamond"/>
                <w:color w:val="000000"/>
              </w:rPr>
              <w:t>Nigeria(</w:t>
            </w:r>
            <w:proofErr w:type="gramEnd"/>
            <w:r>
              <w:rPr>
                <w:rFonts w:ascii="EB Garamond" w:eastAsia="EB Garamond" w:hAnsi="EB Garamond" w:cs="EB Garamond"/>
                <w:color w:val="000000"/>
              </w:rPr>
              <w:t>CBN) and Office of the Accountant General of the Federation often participate in national committee or data sharing initiative tied to revenue transparency and compliance.</w:t>
            </w:r>
          </w:p>
          <w:p w14:paraId="68EAB212" w14:textId="77777777" w:rsidR="00BB62F4" w:rsidRDefault="00000000">
            <w:pPr>
              <w:numPr>
                <w:ilvl w:val="0"/>
                <w:numId w:val="48"/>
              </w:numPr>
              <w:jc w:val="both"/>
              <w:rPr>
                <w:rFonts w:ascii="EB Garamond" w:eastAsia="EB Garamond" w:hAnsi="EB Garamond" w:cs="EB Garamond"/>
                <w:color w:val="000000"/>
              </w:rPr>
            </w:pPr>
            <w:r>
              <w:rPr>
                <w:rFonts w:ascii="EB Garamond" w:eastAsia="EB Garamond" w:hAnsi="EB Garamond" w:cs="EB Garamond"/>
                <w:color w:val="000000"/>
              </w:rPr>
              <w:t>Federal Ministry of Finance, Budget and National Planning involve in broader governance policy and Nigeria’s commitment to international standard.</w:t>
            </w:r>
          </w:p>
          <w:p w14:paraId="0EBE5088" w14:textId="77777777" w:rsidR="00BB62F4" w:rsidRDefault="00BB62F4">
            <w:pPr>
              <w:rPr>
                <w:shd w:val="clear" w:color="auto" w:fill="D9E2F3"/>
              </w:rPr>
            </w:pPr>
          </w:p>
        </w:tc>
      </w:tr>
      <w:tr w:rsidR="00BB62F4" w14:paraId="503150AD" w14:textId="77777777">
        <w:trPr>
          <w:trHeight w:val="913"/>
        </w:trPr>
        <w:tc>
          <w:tcPr>
            <w:tcW w:w="1985" w:type="dxa"/>
            <w:tcBorders>
              <w:top w:val="single" w:sz="4" w:space="0" w:color="000000"/>
              <w:bottom w:val="single" w:sz="4" w:space="0" w:color="000000"/>
            </w:tcBorders>
          </w:tcPr>
          <w:p w14:paraId="24B037E1" w14:textId="77777777" w:rsidR="00BB62F4" w:rsidRDefault="00000000">
            <w:pPr>
              <w:rPr>
                <w:b/>
                <w:bCs/>
              </w:rPr>
            </w:pPr>
            <w:r>
              <w:rPr>
                <w:b/>
                <w:bCs/>
              </w:rPr>
              <w:lastRenderedPageBreak/>
              <w:t>Public register of beneficial owners (2.5.a)</w:t>
            </w:r>
          </w:p>
        </w:tc>
        <w:tc>
          <w:tcPr>
            <w:tcW w:w="4104" w:type="dxa"/>
            <w:tcBorders>
              <w:top w:val="single" w:sz="4" w:space="0" w:color="000000"/>
              <w:bottom w:val="single" w:sz="4" w:space="0" w:color="000000"/>
            </w:tcBorders>
          </w:tcPr>
          <w:p w14:paraId="175C6A43" w14:textId="77777777" w:rsidR="00BB62F4" w:rsidRDefault="00000000">
            <w:r>
              <w:t xml:space="preserve">Which </w:t>
            </w:r>
            <w:r>
              <w:rPr>
                <w:b/>
                <w:bCs/>
              </w:rPr>
              <w:t>government entity(</w:t>
            </w:r>
            <w:proofErr w:type="spellStart"/>
            <w:r>
              <w:rPr>
                <w:b/>
                <w:bCs/>
              </w:rPr>
              <w:t>ies</w:t>
            </w:r>
            <w:proofErr w:type="spellEnd"/>
            <w:r>
              <w:rPr>
                <w:b/>
                <w:bCs/>
              </w:rPr>
              <w:t>)</w:t>
            </w:r>
            <w:r>
              <w:t xml:space="preserve"> is responsible for </w:t>
            </w:r>
            <w:r>
              <w:rPr>
                <w:u w:val="single"/>
              </w:rPr>
              <w:t>maintaining</w:t>
            </w:r>
            <w:r>
              <w:t xml:space="preserve"> a register of the beneficial owners in the </w:t>
            </w:r>
            <w:r>
              <w:rPr>
                <w:b/>
                <w:bCs/>
                <w:color w:val="C00000"/>
              </w:rPr>
              <w:t>Oil and gas</w:t>
            </w:r>
            <w:r>
              <w:t xml:space="preserve"> sector? </w:t>
            </w:r>
          </w:p>
        </w:tc>
        <w:tc>
          <w:tcPr>
            <w:tcW w:w="2983" w:type="dxa"/>
            <w:tcBorders>
              <w:top w:val="single" w:sz="4" w:space="0" w:color="000000"/>
              <w:bottom w:val="single" w:sz="4" w:space="0" w:color="000000"/>
            </w:tcBorders>
          </w:tcPr>
          <w:p w14:paraId="4F6556AB" w14:textId="77777777" w:rsidR="00BB62F4" w:rsidRDefault="00000000">
            <w:r>
              <w:rPr>
                <w:shd w:val="clear" w:color="auto" w:fill="D9E2F3"/>
              </w:rPr>
              <w:t xml:space="preserve">Holder(s) of information: </w:t>
            </w:r>
            <w:r>
              <w:rPr>
                <w:i/>
                <w:iCs/>
                <w:shd w:val="clear" w:color="auto" w:fill="D9E2F3"/>
              </w:rPr>
              <w:t>please specify</w:t>
            </w:r>
            <w:r>
              <w:t xml:space="preserve">: </w:t>
            </w:r>
            <w:hyperlink r:id="rId164">
              <w:r>
                <w:rPr>
                  <w:color w:val="0000FF"/>
                  <w:u w:val="single"/>
                </w:rPr>
                <w:t>NUPRC</w:t>
              </w:r>
            </w:hyperlink>
          </w:p>
          <w:p w14:paraId="7DBABF26" w14:textId="77777777"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rPr>
              <w:t xml:space="preserve">Nigeria Upstream Petroleum Regulatory Commission (NUPRC) is responsible for maintaining a register of the beneficial owners in </w:t>
            </w:r>
            <w:r>
              <w:rPr>
                <w:rFonts w:ascii="EB Garamond" w:eastAsia="EB Garamond" w:hAnsi="EB Garamond" w:cs="EB Garamond"/>
                <w:color w:val="000000"/>
              </w:rPr>
              <w:lastRenderedPageBreak/>
              <w:t>the oil and gas sector under the Petroleum Industry Act (PIA) 2021.</w:t>
            </w:r>
          </w:p>
          <w:p w14:paraId="00441DA1" w14:textId="77777777" w:rsidR="00BB62F4" w:rsidRDefault="00BB62F4"/>
        </w:tc>
      </w:tr>
      <w:tr w:rsidR="00BB62F4" w14:paraId="2F3B14A0" w14:textId="77777777">
        <w:trPr>
          <w:trHeight w:val="1195"/>
        </w:trPr>
        <w:tc>
          <w:tcPr>
            <w:tcW w:w="1985" w:type="dxa"/>
            <w:tcBorders>
              <w:top w:val="single" w:sz="4" w:space="0" w:color="000000"/>
              <w:bottom w:val="single" w:sz="4" w:space="0" w:color="000000"/>
            </w:tcBorders>
          </w:tcPr>
          <w:p w14:paraId="0EF0D69E" w14:textId="77777777" w:rsidR="00BB62F4" w:rsidRDefault="00000000">
            <w:pPr>
              <w:rPr>
                <w:b/>
                <w:bCs/>
              </w:rPr>
            </w:pPr>
            <w:r>
              <w:rPr>
                <w:b/>
                <w:bCs/>
              </w:rPr>
              <w:lastRenderedPageBreak/>
              <w:t>Beneficial ownership information (2.5.c)</w:t>
            </w:r>
          </w:p>
        </w:tc>
        <w:tc>
          <w:tcPr>
            <w:tcW w:w="4104" w:type="dxa"/>
            <w:tcBorders>
              <w:top w:val="single" w:sz="4" w:space="0" w:color="000000"/>
              <w:bottom w:val="single" w:sz="4" w:space="0" w:color="000000"/>
            </w:tcBorders>
          </w:tcPr>
          <w:p w14:paraId="48661E20" w14:textId="77777777" w:rsidR="00BB62F4" w:rsidRDefault="00000000">
            <w:r>
              <w:t xml:space="preserve">Which </w:t>
            </w:r>
            <w:r>
              <w:rPr>
                <w:b/>
                <w:bCs/>
              </w:rPr>
              <w:t>government entity(</w:t>
            </w:r>
            <w:proofErr w:type="spellStart"/>
            <w:r>
              <w:rPr>
                <w:b/>
                <w:bCs/>
              </w:rPr>
              <w:t>ies</w:t>
            </w:r>
            <w:proofErr w:type="spellEnd"/>
            <w:r>
              <w:rPr>
                <w:b/>
                <w:bCs/>
              </w:rPr>
              <w:t>)</w:t>
            </w:r>
            <w:r>
              <w:t xml:space="preserve"> is responsible for </w:t>
            </w:r>
            <w:r>
              <w:rPr>
                <w:u w:val="single"/>
              </w:rPr>
              <w:t xml:space="preserve">requesting and collecting </w:t>
            </w:r>
            <w:r>
              <w:t>beneficial ownership information from companies?</w:t>
            </w:r>
          </w:p>
        </w:tc>
        <w:tc>
          <w:tcPr>
            <w:tcW w:w="2983" w:type="dxa"/>
            <w:tcBorders>
              <w:top w:val="single" w:sz="4" w:space="0" w:color="000000"/>
              <w:bottom w:val="single" w:sz="4" w:space="0" w:color="000000"/>
            </w:tcBorders>
          </w:tcPr>
          <w:p w14:paraId="109E8A58" w14:textId="77777777" w:rsidR="00BB62F4" w:rsidRDefault="00000000">
            <w:pPr>
              <w:rPr>
                <w:u w:val="single"/>
              </w:rPr>
            </w:pPr>
            <w:r>
              <w:rPr>
                <w:shd w:val="clear" w:color="auto" w:fill="D9E2F3"/>
              </w:rPr>
              <w:t xml:space="preserve">Holder(s) of information: </w:t>
            </w:r>
            <w:hyperlink r:id="rId165">
              <w:r>
                <w:rPr>
                  <w:color w:val="0000FF"/>
                  <w:u w:val="single"/>
                  <w:shd w:val="clear" w:color="auto" w:fill="D9E2F3"/>
                </w:rPr>
                <w:t>CAC</w:t>
              </w:r>
            </w:hyperlink>
            <w:r>
              <w:rPr>
                <w:u w:val="single"/>
                <w:shd w:val="clear" w:color="auto" w:fill="D9E2F3"/>
              </w:rPr>
              <w:t>/</w:t>
            </w:r>
            <w:hyperlink r:id="rId166">
              <w:r>
                <w:rPr>
                  <w:color w:val="0000FF"/>
                  <w:u w:val="single"/>
                  <w:shd w:val="clear" w:color="auto" w:fill="D9E2F3"/>
                </w:rPr>
                <w:t>NUPRC</w:t>
              </w:r>
            </w:hyperlink>
            <w:r>
              <w:rPr>
                <w:u w:val="single"/>
              </w:rPr>
              <w:t>:</w:t>
            </w:r>
          </w:p>
          <w:p w14:paraId="2D2E07D8" w14:textId="77777777"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rPr>
              <w:t>The Beneficial Ownership Information BOI in Nigeria is collected by multiple entity(</w:t>
            </w:r>
            <w:proofErr w:type="spellStart"/>
            <w:r>
              <w:rPr>
                <w:rFonts w:ascii="EB Garamond" w:eastAsia="EB Garamond" w:hAnsi="EB Garamond" w:cs="EB Garamond"/>
                <w:color w:val="000000"/>
              </w:rPr>
              <w:t>ies</w:t>
            </w:r>
            <w:proofErr w:type="spellEnd"/>
            <w:r>
              <w:rPr>
                <w:rFonts w:ascii="EB Garamond" w:eastAsia="EB Garamond" w:hAnsi="EB Garamond" w:cs="EB Garamond"/>
                <w:color w:val="000000"/>
              </w:rPr>
              <w:t>) under different legal framework and sector specific requirements;</w:t>
            </w:r>
          </w:p>
          <w:p w14:paraId="59EFB3F2" w14:textId="77777777" w:rsidR="00BB62F4" w:rsidRDefault="00000000">
            <w:pPr>
              <w:numPr>
                <w:ilvl w:val="0"/>
                <w:numId w:val="49"/>
              </w:numPr>
              <w:jc w:val="both"/>
              <w:rPr>
                <w:rFonts w:ascii="EB Garamond" w:eastAsia="EB Garamond" w:hAnsi="EB Garamond" w:cs="EB Garamond"/>
                <w:color w:val="000000"/>
              </w:rPr>
            </w:pPr>
            <w:r>
              <w:rPr>
                <w:rFonts w:ascii="EB Garamond" w:eastAsia="EB Garamond" w:hAnsi="EB Garamond" w:cs="EB Garamond"/>
                <w:color w:val="000000"/>
              </w:rPr>
              <w:t>CAC; All Nigerian companies including oil and gas companies must disclose beneficial ownership information during incorporation and on an ongoing basis to the CAC’s PSC Register under CAMA 2020.</w:t>
            </w:r>
          </w:p>
          <w:p w14:paraId="5BD739E2" w14:textId="77777777" w:rsidR="00BB62F4" w:rsidRDefault="00000000">
            <w:pPr>
              <w:numPr>
                <w:ilvl w:val="0"/>
                <w:numId w:val="49"/>
              </w:numPr>
              <w:jc w:val="both"/>
              <w:rPr>
                <w:rFonts w:ascii="EB Garamond" w:eastAsia="EB Garamond" w:hAnsi="EB Garamond" w:cs="EB Garamond"/>
                <w:color w:val="000000"/>
              </w:rPr>
            </w:pPr>
            <w:r>
              <w:rPr>
                <w:rFonts w:ascii="EB Garamond" w:eastAsia="EB Garamond" w:hAnsi="EB Garamond" w:cs="EB Garamond"/>
                <w:color w:val="000000"/>
              </w:rPr>
              <w:t>NUPRC; oil and gas license holders must also provide BOI directly to NUPRC as part of the regulatory compliance for upstream licences.</w:t>
            </w:r>
          </w:p>
          <w:p w14:paraId="6AD46D50" w14:textId="77777777" w:rsidR="00BB62F4" w:rsidRDefault="00000000">
            <w:pPr>
              <w:numPr>
                <w:ilvl w:val="0"/>
                <w:numId w:val="49"/>
              </w:numPr>
              <w:jc w:val="both"/>
              <w:rPr>
                <w:rFonts w:ascii="EB Garamond" w:eastAsia="EB Garamond" w:hAnsi="EB Garamond" w:cs="EB Garamond"/>
                <w:color w:val="000000"/>
              </w:rPr>
            </w:pPr>
            <w:r>
              <w:rPr>
                <w:rFonts w:ascii="EB Garamond" w:eastAsia="EB Garamond" w:hAnsi="EB Garamond" w:cs="EB Garamond"/>
                <w:color w:val="000000"/>
              </w:rPr>
              <w:t xml:space="preserve">NEITI reviews and publishes </w:t>
            </w:r>
            <w:hyperlink r:id="rId167">
              <w:r>
                <w:rPr>
                  <w:rFonts w:ascii="EB Garamond" w:eastAsia="EB Garamond" w:hAnsi="EB Garamond" w:cs="EB Garamond"/>
                  <w:color w:val="0000FF"/>
                  <w:u w:val="single"/>
                </w:rPr>
                <w:t>BOI</w:t>
              </w:r>
            </w:hyperlink>
            <w:r>
              <w:rPr>
                <w:rFonts w:ascii="EB Garamond" w:eastAsia="EB Garamond" w:hAnsi="EB Garamond" w:cs="EB Garamond"/>
                <w:color w:val="000000"/>
              </w:rPr>
              <w:t xml:space="preserve"> for extractive companies as part of transparency reporting.</w:t>
            </w:r>
          </w:p>
          <w:p w14:paraId="72728A93" w14:textId="77777777" w:rsidR="00BB62F4" w:rsidRDefault="00BB62F4">
            <w:pPr>
              <w:rPr>
                <w:shd w:val="clear" w:color="auto" w:fill="D9E2F3"/>
              </w:rPr>
            </w:pPr>
          </w:p>
        </w:tc>
      </w:tr>
      <w:tr w:rsidR="00BB62F4" w14:paraId="25A3200B" w14:textId="77777777">
        <w:trPr>
          <w:trHeight w:val="1195"/>
        </w:trPr>
        <w:tc>
          <w:tcPr>
            <w:tcW w:w="1985" w:type="dxa"/>
            <w:tcBorders>
              <w:top w:val="single" w:sz="4" w:space="0" w:color="000000"/>
              <w:bottom w:val="single" w:sz="4" w:space="0" w:color="000000"/>
            </w:tcBorders>
          </w:tcPr>
          <w:p w14:paraId="08931545" w14:textId="77777777" w:rsidR="00BB62F4" w:rsidRDefault="00000000">
            <w:pPr>
              <w:rPr>
                <w:b/>
                <w:bCs/>
              </w:rPr>
            </w:pPr>
            <w:r>
              <w:rPr>
                <w:b/>
                <w:bCs/>
              </w:rPr>
              <w:t xml:space="preserve">Publicly listed companies (2.5.f.iii) </w:t>
            </w:r>
          </w:p>
        </w:tc>
        <w:tc>
          <w:tcPr>
            <w:tcW w:w="4104" w:type="dxa"/>
            <w:tcBorders>
              <w:top w:val="single" w:sz="4" w:space="0" w:color="000000"/>
              <w:bottom w:val="single" w:sz="4" w:space="0" w:color="000000"/>
            </w:tcBorders>
          </w:tcPr>
          <w:p w14:paraId="0DA3B510" w14:textId="77777777" w:rsidR="00BB62F4" w:rsidRDefault="00000000">
            <w:r>
              <w:t xml:space="preserve">Which </w:t>
            </w:r>
            <w:r>
              <w:rPr>
                <w:b/>
                <w:bCs/>
              </w:rPr>
              <w:t>stock exchanges</w:t>
            </w:r>
            <w:r>
              <w:t xml:space="preserve"> hold information on publicly listed companies operating in the country? </w:t>
            </w:r>
          </w:p>
        </w:tc>
        <w:tc>
          <w:tcPr>
            <w:tcW w:w="2983" w:type="dxa"/>
            <w:tcBorders>
              <w:top w:val="single" w:sz="4" w:space="0" w:color="000000"/>
              <w:bottom w:val="single" w:sz="4" w:space="0" w:color="000000"/>
            </w:tcBorders>
          </w:tcPr>
          <w:p w14:paraId="5C65D4BE" w14:textId="77777777" w:rsidR="00BB62F4" w:rsidRDefault="00000000">
            <w:r>
              <w:rPr>
                <w:shd w:val="clear" w:color="auto" w:fill="D9E2F3"/>
              </w:rPr>
              <w:t xml:space="preserve">Holder(s) of information: </w:t>
            </w:r>
            <w:r>
              <w:rPr>
                <w:i/>
                <w:iCs/>
                <w:shd w:val="clear" w:color="auto" w:fill="D9E2F3"/>
              </w:rPr>
              <w:t>please specify, this can be foreign stock exchanges</w:t>
            </w:r>
            <w:r>
              <w:t>:</w:t>
            </w:r>
          </w:p>
          <w:p w14:paraId="499F6420" w14:textId="77777777" w:rsidR="00BB62F4" w:rsidRDefault="00000000">
            <w:pPr>
              <w:jc w:val="both"/>
              <w:rPr>
                <w:rFonts w:ascii="Times New Roman" w:eastAsia="Times New Roman" w:hAnsi="Times New Roman" w:cs="Times New Roman"/>
                <w:sz w:val="24"/>
                <w:szCs w:val="24"/>
              </w:rPr>
            </w:pPr>
            <w:r>
              <w:rPr>
                <w:rFonts w:ascii="EB Garamond" w:eastAsia="EB Garamond" w:hAnsi="EB Garamond" w:cs="EB Garamond"/>
                <w:color w:val="000000"/>
              </w:rPr>
              <w:t>Nigerian Exchange Limited (NGX) formerly known as The Nigerian Stock Exchange is the primary Stock Exchange in Nigeria.</w:t>
            </w:r>
          </w:p>
          <w:p w14:paraId="02D0F712" w14:textId="77777777" w:rsidR="00BB62F4" w:rsidRDefault="00BB62F4">
            <w:pPr>
              <w:rPr>
                <w:shd w:val="clear" w:color="auto" w:fill="D9E2F3"/>
              </w:rPr>
            </w:pPr>
          </w:p>
        </w:tc>
      </w:tr>
      <w:tr w:rsidR="00BB62F4" w14:paraId="5F0FC000" w14:textId="77777777">
        <w:trPr>
          <w:trHeight w:val="1195"/>
        </w:trPr>
        <w:tc>
          <w:tcPr>
            <w:tcW w:w="1985" w:type="dxa"/>
            <w:tcBorders>
              <w:top w:val="single" w:sz="4" w:space="0" w:color="000000"/>
              <w:bottom w:val="single" w:sz="4" w:space="0" w:color="000000"/>
            </w:tcBorders>
          </w:tcPr>
          <w:p w14:paraId="7E1109CE" w14:textId="77777777" w:rsidR="00BB62F4" w:rsidRDefault="00000000">
            <w:pPr>
              <w:rPr>
                <w:b/>
                <w:bCs/>
              </w:rPr>
            </w:pPr>
            <w:r>
              <w:rPr>
                <w:b/>
                <w:bCs/>
              </w:rPr>
              <w:t xml:space="preserve">State-owned companies (2.5.f.v) </w:t>
            </w:r>
          </w:p>
        </w:tc>
        <w:tc>
          <w:tcPr>
            <w:tcW w:w="4104" w:type="dxa"/>
            <w:tcBorders>
              <w:top w:val="single" w:sz="4" w:space="0" w:color="000000"/>
              <w:bottom w:val="single" w:sz="4" w:space="0" w:color="000000"/>
            </w:tcBorders>
          </w:tcPr>
          <w:p w14:paraId="6EB22370" w14:textId="77777777" w:rsidR="00BB62F4" w:rsidRDefault="00000000">
            <w:r>
              <w:t xml:space="preserve">Which states/jurisdictions have information on ownership and control of foreign SOEs operating in the country? </w:t>
            </w:r>
          </w:p>
        </w:tc>
        <w:tc>
          <w:tcPr>
            <w:tcW w:w="2983" w:type="dxa"/>
            <w:tcBorders>
              <w:top w:val="single" w:sz="4" w:space="0" w:color="000000"/>
              <w:bottom w:val="single" w:sz="4" w:space="0" w:color="000000"/>
            </w:tcBorders>
          </w:tcPr>
          <w:p w14:paraId="4306666A" w14:textId="77777777" w:rsidR="00BB62F4" w:rsidRDefault="00000000">
            <w:r>
              <w:rPr>
                <w:shd w:val="clear" w:color="auto" w:fill="D9E2F3"/>
              </w:rPr>
              <w:t xml:space="preserve">Holder(s) of information: </w:t>
            </w:r>
            <w:r>
              <w:rPr>
                <w:i/>
                <w:iCs/>
                <w:shd w:val="clear" w:color="auto" w:fill="D9E2F3"/>
              </w:rPr>
              <w:t>please specify</w:t>
            </w:r>
            <w:r>
              <w:t>:</w:t>
            </w:r>
          </w:p>
          <w:p w14:paraId="6793CB8B"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rPr>
              <w:t xml:space="preserve">The host (jurisdiction) that have information of foreign SOE’s </w:t>
            </w:r>
            <w:r>
              <w:rPr>
                <w:rFonts w:ascii="EB Garamond" w:eastAsia="EB Garamond" w:hAnsi="EB Garamond" w:cs="EB Garamond"/>
                <w:color w:val="000000"/>
              </w:rPr>
              <w:lastRenderedPageBreak/>
              <w:t>include the CAC, NUPRC and NGX.</w:t>
            </w:r>
          </w:p>
          <w:p w14:paraId="2BF487F0" w14:textId="77777777" w:rsidR="00BB62F4" w:rsidRDefault="00BB62F4">
            <w:pPr>
              <w:rPr>
                <w:shd w:val="clear" w:color="auto" w:fill="D9E2F3"/>
              </w:rPr>
            </w:pPr>
          </w:p>
        </w:tc>
      </w:tr>
    </w:tbl>
    <w:p w14:paraId="7A45BA94" w14:textId="77777777" w:rsidR="00BB62F4" w:rsidRDefault="00BB62F4">
      <w:pPr>
        <w:pBdr>
          <w:top w:val="nil"/>
          <w:left w:val="nil"/>
          <w:bottom w:val="nil"/>
          <w:right w:val="nil"/>
          <w:between w:val="nil"/>
        </w:pBdr>
        <w:spacing w:before="0" w:after="0" w:line="276" w:lineRule="auto"/>
        <w:rPr>
          <w:color w:val="595959"/>
        </w:rPr>
      </w:pPr>
    </w:p>
    <w:p w14:paraId="6013C643" w14:textId="77777777" w:rsidR="00BB62F4" w:rsidRDefault="00000000">
      <w:pPr>
        <w:pStyle w:val="Heading3"/>
      </w:pPr>
      <w:bookmarkStart w:id="37" w:name="_heading=h.lzs767mgf02w" w:colFirst="0" w:colLast="0"/>
      <w:bookmarkEnd w:id="37"/>
      <w:r>
        <w:t>Technical requirements</w:t>
      </w:r>
    </w:p>
    <w:tbl>
      <w:tblPr>
        <w:tblStyle w:val="aff8"/>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7512"/>
      </w:tblGrid>
      <w:tr w:rsidR="00BB62F4" w14:paraId="01427685" w14:textId="77777777">
        <w:tc>
          <w:tcPr>
            <w:tcW w:w="1668" w:type="dxa"/>
            <w:tcBorders>
              <w:top w:val="nil"/>
              <w:left w:val="nil"/>
              <w:bottom w:val="single" w:sz="4" w:space="0" w:color="000000"/>
              <w:right w:val="nil"/>
            </w:tcBorders>
            <w:shd w:val="clear" w:color="auto" w:fill="B4C6E7"/>
          </w:tcPr>
          <w:p w14:paraId="71A9D3F9" w14:textId="77777777" w:rsidR="00BB62F4" w:rsidRDefault="00000000">
            <w:pPr>
              <w:rPr>
                <w:b/>
                <w:bCs/>
              </w:rPr>
            </w:pPr>
            <w:r>
              <w:rPr>
                <w:b/>
                <w:bCs/>
              </w:rPr>
              <w:t>Required</w:t>
            </w:r>
          </w:p>
        </w:tc>
        <w:tc>
          <w:tcPr>
            <w:tcW w:w="7512" w:type="dxa"/>
            <w:tcBorders>
              <w:top w:val="nil"/>
              <w:left w:val="nil"/>
              <w:bottom w:val="single" w:sz="4" w:space="0" w:color="000000"/>
              <w:right w:val="nil"/>
            </w:tcBorders>
            <w:shd w:val="clear" w:color="auto" w:fill="B4C6E7"/>
          </w:tcPr>
          <w:p w14:paraId="1B35FD48" w14:textId="77777777" w:rsidR="00BB62F4" w:rsidRDefault="00000000">
            <w:pPr>
              <w:rPr>
                <w:b/>
                <w:bCs/>
              </w:rPr>
            </w:pPr>
            <w:r>
              <w:rPr>
                <w:b/>
                <w:bCs/>
              </w:rPr>
              <w:t>#2.</w:t>
            </w:r>
            <w:proofErr w:type="gramStart"/>
            <w:r>
              <w:rPr>
                <w:b/>
                <w:bCs/>
              </w:rPr>
              <w:t>5.g</w:t>
            </w:r>
            <w:proofErr w:type="gramEnd"/>
            <w:r>
              <w:rPr>
                <w:b/>
                <w:bCs/>
              </w:rPr>
              <w:t xml:space="preserve"> – Legal ownership</w:t>
            </w:r>
          </w:p>
        </w:tc>
      </w:tr>
      <w:tr w:rsidR="00BB62F4" w14:paraId="1EA4BB7C" w14:textId="77777777">
        <w:tc>
          <w:tcPr>
            <w:tcW w:w="1668" w:type="dxa"/>
            <w:tcBorders>
              <w:top w:val="single" w:sz="4" w:space="0" w:color="000000"/>
              <w:left w:val="nil"/>
              <w:bottom w:val="single" w:sz="4" w:space="0" w:color="000000"/>
              <w:right w:val="nil"/>
            </w:tcBorders>
          </w:tcPr>
          <w:p w14:paraId="6DC98B1B" w14:textId="77777777" w:rsidR="00BB62F4" w:rsidRDefault="00000000">
            <w:pPr>
              <w:rPr>
                <w:i/>
                <w:iCs/>
              </w:rPr>
            </w:pPr>
            <w:r>
              <w:rPr>
                <w:i/>
                <w:iCs/>
              </w:rPr>
              <w:t>Availability</w:t>
            </w:r>
          </w:p>
        </w:tc>
        <w:tc>
          <w:tcPr>
            <w:tcW w:w="7512" w:type="dxa"/>
            <w:tcBorders>
              <w:top w:val="single" w:sz="4" w:space="0" w:color="000000"/>
              <w:left w:val="nil"/>
              <w:bottom w:val="single" w:sz="4" w:space="0" w:color="000000"/>
              <w:right w:val="nil"/>
            </w:tcBorders>
          </w:tcPr>
          <w:p w14:paraId="67EA6CE4" w14:textId="77777777" w:rsidR="00BB62F4" w:rsidRDefault="00000000">
            <w:pPr>
              <w:rPr>
                <w:b/>
                <w:bCs/>
              </w:rPr>
            </w:pPr>
            <w:r>
              <w:rPr>
                <w:b/>
                <w:bCs/>
              </w:rPr>
              <w:t xml:space="preserve">Are the </w:t>
            </w:r>
            <w:r>
              <w:rPr>
                <w:b/>
                <w:bCs/>
                <w:u w:val="single"/>
              </w:rPr>
              <w:t>legal</w:t>
            </w:r>
            <w:r>
              <w:rPr>
                <w:b/>
                <w:bCs/>
              </w:rPr>
              <w:t xml:space="preserve"> owners of all the corporate entities that apply for, or hold, exploration and extraction licenses publicly disclosed?</w:t>
            </w:r>
          </w:p>
          <w:p w14:paraId="2760435E"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33052D23" w14:textId="77777777" w:rsidR="00BB62F4" w:rsidRDefault="00000000">
            <w:pPr>
              <w:rPr>
                <w:b/>
                <w:bCs/>
              </w:rPr>
            </w:pPr>
            <w:r>
              <w:rPr>
                <w:b/>
                <w:bCs/>
              </w:rPr>
              <w:t>Does the information on legal owners include information on their share of ownership of the corporate entity?</w:t>
            </w:r>
          </w:p>
          <w:p w14:paraId="68A17632"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15405E3E" w14:textId="77777777" w:rsidR="00BB62F4" w:rsidRDefault="00BB62F4">
            <w:pPr>
              <w:rPr>
                <w:shd w:val="clear" w:color="auto" w:fill="D9E2F3"/>
              </w:rPr>
            </w:pPr>
          </w:p>
          <w:p w14:paraId="616C3096" w14:textId="77777777" w:rsidR="00BB62F4" w:rsidRDefault="00000000">
            <w:pPr>
              <w:pBdr>
                <w:top w:val="nil"/>
                <w:left w:val="nil"/>
                <w:bottom w:val="nil"/>
                <w:right w:val="nil"/>
                <w:between w:val="nil"/>
              </w:pBdr>
              <w:shd w:val="clear" w:color="auto" w:fill="FFFFFF"/>
              <w:rPr>
                <w:b/>
                <w:bCs/>
                <w:i/>
                <w:iCs/>
                <w:color w:val="000000"/>
              </w:rPr>
            </w:pPr>
            <w:r>
              <w:rPr>
                <w:b/>
                <w:bCs/>
                <w:i/>
                <w:iCs/>
                <w:color w:val="000000"/>
              </w:rPr>
              <w:t>Where to find legal owners of all companies (source):</w:t>
            </w:r>
          </w:p>
          <w:p w14:paraId="0E90CFF3" w14:textId="77777777" w:rsidR="00BB62F4" w:rsidRDefault="00000000">
            <w:pPr>
              <w:pBdr>
                <w:top w:val="nil"/>
                <w:left w:val="nil"/>
                <w:bottom w:val="nil"/>
                <w:right w:val="nil"/>
                <w:between w:val="nil"/>
              </w:pBdr>
              <w:shd w:val="clear" w:color="auto" w:fill="FFFFFF"/>
              <w:rPr>
                <w:color w:val="0000FF"/>
                <w:u w:val="single"/>
                <w:shd w:val="clear" w:color="auto" w:fill="D9E2F3"/>
              </w:rPr>
            </w:pPr>
            <w:r>
              <w:rPr>
                <w:color w:val="000000"/>
              </w:rPr>
              <w:t xml:space="preserve">Systematic disclosures: </w:t>
            </w:r>
            <w:r>
              <w:rPr>
                <w:color w:val="000000"/>
                <w:shd w:val="clear" w:color="auto" w:fill="D9E2F3"/>
              </w:rPr>
              <w:t xml:space="preserve">website www. or routine publication by the </w:t>
            </w:r>
            <w:hyperlink w:anchor="_heading=h.ceyfom1ili73">
              <w:r>
                <w:rPr>
                  <w:color w:val="0000FF"/>
                  <w:u w:val="single"/>
                  <w:shd w:val="clear" w:color="auto" w:fill="D9E2F3"/>
                </w:rPr>
                <w:t>holders of information</w:t>
              </w:r>
            </w:hyperlink>
          </w:p>
          <w:p w14:paraId="64864E81" w14:textId="77777777" w:rsidR="00BB62F4" w:rsidRDefault="00000000">
            <w:pPr>
              <w:numPr>
                <w:ilvl w:val="0"/>
                <w:numId w:val="50"/>
              </w:numPr>
              <w:shd w:val="clear" w:color="auto" w:fill="FFFFFF"/>
              <w:spacing w:after="0"/>
              <w:rPr>
                <w:rFonts w:ascii="EB Garamond" w:eastAsia="EB Garamond" w:hAnsi="EB Garamond" w:cs="EB Garamond"/>
                <w:color w:val="000000"/>
              </w:rPr>
            </w:pPr>
            <w:hyperlink r:id="rId168">
              <w:r>
                <w:rPr>
                  <w:rFonts w:ascii="EB Garamond" w:eastAsia="EB Garamond" w:hAnsi="EB Garamond" w:cs="EB Garamond"/>
                  <w:color w:val="1155CC"/>
                  <w:u w:val="single"/>
                </w:rPr>
                <w:t>Licences | NUPRC</w:t>
              </w:r>
            </w:hyperlink>
            <w:r>
              <w:rPr>
                <w:rFonts w:ascii="EB Garamond" w:eastAsia="EB Garamond" w:hAnsi="EB Garamond" w:cs="EB Garamond"/>
              </w:rPr>
              <w:t xml:space="preserve"> </w:t>
            </w:r>
          </w:p>
          <w:p w14:paraId="0F7E91AB" w14:textId="77777777" w:rsidR="00BB62F4" w:rsidRDefault="00000000">
            <w:pPr>
              <w:numPr>
                <w:ilvl w:val="0"/>
                <w:numId w:val="50"/>
              </w:numPr>
              <w:shd w:val="clear" w:color="auto" w:fill="FFFFFF"/>
              <w:spacing w:before="0" w:after="0"/>
              <w:rPr>
                <w:rFonts w:ascii="EB Garamond" w:eastAsia="EB Garamond" w:hAnsi="EB Garamond" w:cs="EB Garamond"/>
                <w:color w:val="4A86E8"/>
              </w:rPr>
            </w:pPr>
            <w:hyperlink r:id="rId169">
              <w:r>
                <w:rPr>
                  <w:rFonts w:ascii="EB Garamond" w:eastAsia="EB Garamond" w:hAnsi="EB Garamond" w:cs="EB Garamond"/>
                  <w:color w:val="4A86E8"/>
                  <w:u w:val="single"/>
                </w:rPr>
                <w:t>https://www.nuprc.gov.ng/wp-content/uploads/2023/12/Concession-Situation-December-2023.pdf</w:t>
              </w:r>
            </w:hyperlink>
          </w:p>
          <w:p w14:paraId="05A708B1" w14:textId="77777777" w:rsidR="00BB62F4" w:rsidRDefault="00000000">
            <w:pPr>
              <w:numPr>
                <w:ilvl w:val="0"/>
                <w:numId w:val="50"/>
              </w:numPr>
              <w:shd w:val="clear" w:color="auto" w:fill="FFFFFF"/>
              <w:spacing w:before="0"/>
              <w:rPr>
                <w:rFonts w:ascii="EB Garamond" w:eastAsia="EB Garamond" w:hAnsi="EB Garamond" w:cs="EB Garamond"/>
                <w:color w:val="000000"/>
              </w:rPr>
            </w:pPr>
            <w:hyperlink r:id="rId170">
              <w:r>
                <w:rPr>
                  <w:rFonts w:ascii="EB Garamond" w:eastAsia="EB Garamond" w:hAnsi="EB Garamond" w:cs="EB Garamond"/>
                  <w:color w:val="1155CC"/>
                  <w:u w:val="single"/>
                </w:rPr>
                <w:t>cac.gov.ng</w:t>
              </w:r>
            </w:hyperlink>
          </w:p>
          <w:p w14:paraId="74053149" w14:textId="77777777" w:rsidR="00BB62F4" w:rsidRDefault="00BB62F4">
            <w:pPr>
              <w:pBdr>
                <w:top w:val="nil"/>
                <w:left w:val="nil"/>
                <w:bottom w:val="nil"/>
                <w:right w:val="nil"/>
                <w:between w:val="nil"/>
              </w:pBdr>
              <w:shd w:val="clear" w:color="auto" w:fill="FFFFFF"/>
              <w:rPr>
                <w:color w:val="000000"/>
              </w:rPr>
            </w:pPr>
          </w:p>
          <w:p w14:paraId="0640A633" w14:textId="77777777" w:rsidR="00BB62F4" w:rsidRDefault="00000000">
            <w:pPr>
              <w:pBdr>
                <w:top w:val="nil"/>
                <w:left w:val="nil"/>
                <w:bottom w:val="nil"/>
                <w:right w:val="nil"/>
                <w:between w:val="nil"/>
              </w:pBdr>
              <w:shd w:val="clear" w:color="auto" w:fill="FFFFFF"/>
              <w:rPr>
                <w:color w:val="000000"/>
              </w:rPr>
            </w:pPr>
            <w:r>
              <w:rPr>
                <w:color w:val="000000"/>
              </w:rPr>
              <w:t>AND / OR</w:t>
            </w:r>
          </w:p>
          <w:p w14:paraId="79349C8F" w14:textId="77777777" w:rsidR="00BB62F4" w:rsidRDefault="00000000">
            <w:pPr>
              <w:rPr>
                <w:shd w:val="clear" w:color="auto" w:fill="D9E2F3"/>
              </w:rPr>
            </w:pPr>
            <w:r>
              <w:t xml:space="preserve">Other sources: </w:t>
            </w:r>
            <w:r>
              <w:rPr>
                <w:shd w:val="clear" w:color="auto" w:fill="D9E2F3"/>
              </w:rPr>
              <w:t>EITI Report (year and page number), EITI website etc</w:t>
            </w:r>
          </w:p>
          <w:p w14:paraId="72671654" w14:textId="77777777" w:rsidR="00BB62F4" w:rsidRDefault="00000000">
            <w:pPr>
              <w:numPr>
                <w:ilvl w:val="0"/>
                <w:numId w:val="51"/>
              </w:numPr>
              <w:rPr>
                <w:rFonts w:ascii="EB Garamond" w:eastAsia="EB Garamond" w:hAnsi="EB Garamond" w:cs="EB Garamond"/>
                <w:color w:val="000000"/>
              </w:rPr>
            </w:pPr>
            <w:hyperlink r:id="rId171">
              <w:r>
                <w:rPr>
                  <w:rFonts w:ascii="EB Garamond" w:eastAsia="EB Garamond" w:hAnsi="EB Garamond" w:cs="EB Garamond"/>
                  <w:color w:val="0000FF"/>
                  <w:u w:val="single"/>
                </w:rPr>
                <w:t>bo.neiti.gov.ng</w:t>
              </w:r>
            </w:hyperlink>
          </w:p>
          <w:p w14:paraId="77D0826F" w14:textId="77777777" w:rsidR="00BB62F4" w:rsidRDefault="00000000">
            <w:pPr>
              <w:numPr>
                <w:ilvl w:val="0"/>
                <w:numId w:val="51"/>
              </w:numPr>
              <w:rPr>
                <w:rFonts w:ascii="EB Garamond" w:eastAsia="EB Garamond" w:hAnsi="EB Garamond" w:cs="EB Garamond"/>
                <w:color w:val="000000"/>
              </w:rPr>
            </w:pPr>
            <w:hyperlink r:id="rId172">
              <w:r>
                <w:rPr>
                  <w:rFonts w:ascii="EB Garamond" w:eastAsia="EB Garamond" w:hAnsi="EB Garamond" w:cs="EB Garamond"/>
                  <w:color w:val="0000FF"/>
                  <w:u w:val="single"/>
                </w:rPr>
                <w:t>https://bo.neiti.gov.ng/og_search</w:t>
              </w:r>
            </w:hyperlink>
          </w:p>
          <w:p w14:paraId="1528C826" w14:textId="77777777" w:rsidR="00BB62F4" w:rsidRDefault="00BB62F4"/>
          <w:p w14:paraId="58931BF7" w14:textId="77777777" w:rsidR="00BB62F4" w:rsidRDefault="00BB62F4"/>
        </w:tc>
      </w:tr>
      <w:tr w:rsidR="00BB62F4" w14:paraId="3ADF02CE" w14:textId="77777777">
        <w:tc>
          <w:tcPr>
            <w:tcW w:w="1668" w:type="dxa"/>
            <w:tcBorders>
              <w:top w:val="single" w:sz="4" w:space="0" w:color="000000"/>
              <w:left w:val="nil"/>
              <w:bottom w:val="single" w:sz="4" w:space="0" w:color="000000"/>
              <w:right w:val="nil"/>
            </w:tcBorders>
            <w:shd w:val="clear" w:color="auto" w:fill="B4C6E7"/>
          </w:tcPr>
          <w:p w14:paraId="30B934FA" w14:textId="77777777" w:rsidR="00BB62F4" w:rsidRDefault="00000000">
            <w:pPr>
              <w:rPr>
                <w:i/>
                <w:iCs/>
              </w:rPr>
            </w:pPr>
            <w:r>
              <w:rPr>
                <w:b/>
                <w:bCs/>
              </w:rPr>
              <w:t>Required</w:t>
            </w:r>
          </w:p>
        </w:tc>
        <w:tc>
          <w:tcPr>
            <w:tcW w:w="7512" w:type="dxa"/>
            <w:tcBorders>
              <w:top w:val="single" w:sz="4" w:space="0" w:color="000000"/>
              <w:left w:val="nil"/>
              <w:bottom w:val="single" w:sz="4" w:space="0" w:color="000000"/>
              <w:right w:val="nil"/>
            </w:tcBorders>
            <w:shd w:val="clear" w:color="auto" w:fill="B4C6E7"/>
          </w:tcPr>
          <w:p w14:paraId="4C3225C0" w14:textId="77777777" w:rsidR="00BB62F4" w:rsidRDefault="00000000">
            <w:pPr>
              <w:rPr>
                <w:b/>
                <w:bCs/>
              </w:rPr>
            </w:pPr>
            <w:r>
              <w:rPr>
                <w:b/>
                <w:bCs/>
              </w:rPr>
              <w:t>#2.5.</w:t>
            </w:r>
            <w:proofErr w:type="gramStart"/>
            <w:r>
              <w:rPr>
                <w:b/>
                <w:bCs/>
              </w:rPr>
              <w:t>f.ii</w:t>
            </w:r>
            <w:proofErr w:type="gramEnd"/>
            <w:r>
              <w:rPr>
                <w:b/>
                <w:bCs/>
              </w:rPr>
              <w:t xml:space="preserve"> – Definition of beneficial ownership</w:t>
            </w:r>
          </w:p>
        </w:tc>
      </w:tr>
      <w:tr w:rsidR="00BB62F4" w14:paraId="6244A9D5" w14:textId="77777777">
        <w:tc>
          <w:tcPr>
            <w:tcW w:w="1668" w:type="dxa"/>
            <w:tcBorders>
              <w:top w:val="single" w:sz="4" w:space="0" w:color="000000"/>
              <w:left w:val="nil"/>
              <w:bottom w:val="single" w:sz="4" w:space="0" w:color="000000"/>
              <w:right w:val="nil"/>
            </w:tcBorders>
          </w:tcPr>
          <w:p w14:paraId="187B5A53" w14:textId="77777777" w:rsidR="00BB62F4" w:rsidRDefault="00000000">
            <w:pPr>
              <w:rPr>
                <w:i/>
                <w:iCs/>
              </w:rPr>
            </w:pPr>
            <w:r>
              <w:rPr>
                <w:i/>
                <w:iCs/>
              </w:rPr>
              <w:t>Definition</w:t>
            </w:r>
          </w:p>
        </w:tc>
        <w:tc>
          <w:tcPr>
            <w:tcW w:w="7512" w:type="dxa"/>
            <w:tcBorders>
              <w:top w:val="single" w:sz="4" w:space="0" w:color="000000"/>
              <w:left w:val="nil"/>
              <w:bottom w:val="single" w:sz="4" w:space="0" w:color="000000"/>
              <w:right w:val="nil"/>
            </w:tcBorders>
          </w:tcPr>
          <w:p w14:paraId="4F44F28D" w14:textId="77777777" w:rsidR="00BB62F4" w:rsidRDefault="00000000">
            <w:pPr>
              <w:rPr>
                <w:b/>
                <w:bCs/>
              </w:rPr>
            </w:pPr>
            <w:r>
              <w:rPr>
                <w:b/>
                <w:bCs/>
              </w:rPr>
              <w:t xml:space="preserve">Has the </w:t>
            </w:r>
            <w:r>
              <w:rPr>
                <w:b/>
                <w:bCs/>
                <w:u w:val="single"/>
              </w:rPr>
              <w:t>MSG</w:t>
            </w:r>
            <w:r>
              <w:rPr>
                <w:b/>
                <w:bCs/>
              </w:rPr>
              <w:t xml:space="preserve"> agreed an appropriate definition of the term “beneficial owner”:</w:t>
            </w:r>
          </w:p>
          <w:p w14:paraId="2319E13E" w14:textId="77777777" w:rsidR="00BB62F4" w:rsidRDefault="00000000">
            <w:r>
              <w:t>Is the definition in line with #2.5.</w:t>
            </w:r>
            <w:proofErr w:type="gramStart"/>
            <w:r>
              <w:t>f.i</w:t>
            </w:r>
            <w:proofErr w:type="gramEnd"/>
            <w:r>
              <w:t>?</w:t>
            </w:r>
          </w:p>
          <w:p w14:paraId="32E2CF15"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422F1E03" w14:textId="77777777" w:rsidR="00BB62F4" w:rsidRDefault="00000000">
            <w:r>
              <w:t>Does the definition take into account international norms and relevant national laws?</w:t>
            </w:r>
          </w:p>
          <w:p w14:paraId="249F3A93"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0B96D8F2" w14:textId="77777777" w:rsidR="00BB62F4" w:rsidRDefault="00000000">
            <w:r>
              <w:t>Does the definition include ownership threshold(s)?</w:t>
            </w:r>
          </w:p>
          <w:p w14:paraId="350D7097"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FA51EEE" w14:textId="77777777" w:rsidR="00BB62F4" w:rsidRDefault="00000000">
            <w:r>
              <w:lastRenderedPageBreak/>
              <w:t>Was the threshold informed by the country context and the type and level of risk that the country aims to address?</w:t>
            </w:r>
          </w:p>
          <w:p w14:paraId="5CA074A3"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r>
              <w:t xml:space="preserve"> </w:t>
            </w:r>
          </w:p>
          <w:p w14:paraId="12A78BCD" w14:textId="77777777" w:rsidR="00BB62F4" w:rsidRDefault="00BB62F4"/>
          <w:p w14:paraId="40AAF13E" w14:textId="77777777" w:rsidR="00BB62F4" w:rsidRDefault="00000000">
            <w:pPr>
              <w:rPr>
                <w:b/>
                <w:bCs/>
                <w:i/>
                <w:iCs/>
              </w:rPr>
            </w:pPr>
            <w:r>
              <w:rPr>
                <w:b/>
                <w:bCs/>
                <w:i/>
                <w:iCs/>
              </w:rPr>
              <w:t>Provide the source to find the MSG’s adoption and definition of beneficial ownership:</w:t>
            </w:r>
          </w:p>
          <w:p w14:paraId="78F5B315" w14:textId="77777777" w:rsidR="00BB62F4" w:rsidRDefault="00000000">
            <w:pPr>
              <w:rPr>
                <w:shd w:val="clear" w:color="auto" w:fill="D9E2F3"/>
              </w:rPr>
            </w:pPr>
            <w:r>
              <w:t xml:space="preserve">Systematic disclosures: </w:t>
            </w:r>
            <w:r>
              <w:rPr>
                <w:shd w:val="clear" w:color="auto" w:fill="D9E2F3"/>
              </w:rPr>
              <w:t xml:space="preserve">website www. by the </w:t>
            </w:r>
            <w:hyperlink w:anchor="_heading=h.ceyfom1ili73">
              <w:r>
                <w:rPr>
                  <w:color w:val="0000FF"/>
                  <w:u w:val="single"/>
                  <w:shd w:val="clear" w:color="auto" w:fill="D9E2F3"/>
                </w:rPr>
                <w:t>holders of information</w:t>
              </w:r>
            </w:hyperlink>
            <w:r>
              <w:rPr>
                <w:shd w:val="clear" w:color="auto" w:fill="D9E2F3"/>
              </w:rPr>
              <w:t xml:space="preserve"> or reference to national legislation that defines the beneficial owner, where the legal basis exists and serves as basis. </w:t>
            </w:r>
          </w:p>
          <w:p w14:paraId="04E42B7D" w14:textId="77777777" w:rsidR="00BB62F4" w:rsidRDefault="00000000">
            <w:pPr>
              <w:numPr>
                <w:ilvl w:val="0"/>
                <w:numId w:val="52"/>
              </w:numPr>
              <w:rPr>
                <w:rFonts w:ascii="EB Garamond" w:eastAsia="EB Garamond" w:hAnsi="EB Garamond" w:cs="EB Garamond"/>
                <w:color w:val="FF0000"/>
              </w:rPr>
            </w:pPr>
            <w:hyperlink r:id="rId173">
              <w:r>
                <w:rPr>
                  <w:rFonts w:ascii="EB Garamond" w:eastAsia="EB Garamond" w:hAnsi="EB Garamond" w:cs="EB Garamond"/>
                  <w:color w:val="1155CC"/>
                  <w:u w:val="single"/>
                  <w:shd w:val="clear" w:color="auto" w:fill="D9E2F3"/>
                </w:rPr>
                <w:t>Legal framework on beneficial owner</w:t>
              </w:r>
            </w:hyperlink>
          </w:p>
          <w:p w14:paraId="4064FB74" w14:textId="77777777" w:rsidR="00BB62F4" w:rsidRDefault="00000000">
            <w:pPr>
              <w:numPr>
                <w:ilvl w:val="0"/>
                <w:numId w:val="52"/>
              </w:numPr>
              <w:rPr>
                <w:rFonts w:ascii="EB Garamond" w:eastAsia="EB Garamond" w:hAnsi="EB Garamond" w:cs="EB Garamond"/>
                <w:color w:val="FF0000"/>
              </w:rPr>
            </w:pPr>
            <w:hyperlink r:id="rId174" w:anchor=":~:text=The%20information%20shall%20be%20provided,day%20of%20December%202022%20by">
              <w:r>
                <w:rPr>
                  <w:rFonts w:ascii="EB Garamond" w:eastAsia="EB Garamond" w:hAnsi="EB Garamond" w:cs="EB Garamond"/>
                  <w:color w:val="FF0000"/>
                  <w:u w:val="single"/>
                  <w:shd w:val="clear" w:color="auto" w:fill="D9E2F3"/>
                </w:rPr>
                <w:t>https://www.nuprc.gov.ng/beneficial-ownership-information/#:~:text=The%20information%20shall%20be%20provided,day%20of%20December%202022%20by</w:t>
              </w:r>
            </w:hyperlink>
          </w:p>
          <w:p w14:paraId="7D0F6EF3" w14:textId="77777777" w:rsidR="00BB62F4" w:rsidRDefault="00000000">
            <w:pPr>
              <w:numPr>
                <w:ilvl w:val="0"/>
                <w:numId w:val="52"/>
              </w:numPr>
              <w:rPr>
                <w:rFonts w:ascii="EB Garamond" w:eastAsia="EB Garamond" w:hAnsi="EB Garamond" w:cs="EB Garamond"/>
                <w:color w:val="000000"/>
              </w:rPr>
            </w:pPr>
            <w:hyperlink r:id="rId175">
              <w:r>
                <w:rPr>
                  <w:rFonts w:ascii="EB Garamond" w:eastAsia="EB Garamond" w:hAnsi="EB Garamond" w:cs="EB Garamond"/>
                  <w:color w:val="1155CC"/>
                  <w:u w:val="single"/>
                </w:rPr>
                <w:t>NOGABOR - Nigerian Oil &amp; Gas Beneficial Ownership Register</w:t>
              </w:r>
            </w:hyperlink>
            <w:r>
              <w:rPr>
                <w:rFonts w:ascii="EB Garamond" w:eastAsia="EB Garamond" w:hAnsi="EB Garamond" w:cs="EB Garamond"/>
              </w:rPr>
              <w:t xml:space="preserve"> </w:t>
            </w:r>
          </w:p>
          <w:p w14:paraId="54204A00" w14:textId="77777777" w:rsidR="00BB62F4" w:rsidRDefault="00BB62F4"/>
          <w:p w14:paraId="75C3C73A" w14:textId="77777777" w:rsidR="00BB62F4" w:rsidRDefault="00000000">
            <w:r>
              <w:t xml:space="preserve">AND </w:t>
            </w:r>
          </w:p>
          <w:p w14:paraId="72BEE51E" w14:textId="77777777" w:rsidR="00BB62F4" w:rsidRDefault="00000000">
            <w:pPr>
              <w:rPr>
                <w:shd w:val="clear" w:color="auto" w:fill="D9E2F3"/>
              </w:rPr>
            </w:pPr>
            <w:r>
              <w:t xml:space="preserve">Other sources: </w:t>
            </w:r>
            <w:r>
              <w:rPr>
                <w:shd w:val="clear" w:color="auto" w:fill="D9E2F3"/>
              </w:rPr>
              <w:t xml:space="preserve">EITI Report (year and page number), MSG meeting minutes documenting the adoption of the definition. </w:t>
            </w:r>
          </w:p>
          <w:p w14:paraId="2068A337" w14:textId="77777777" w:rsidR="00BB62F4" w:rsidRPr="0094427B" w:rsidRDefault="00000000">
            <w:pPr>
              <w:numPr>
                <w:ilvl w:val="0"/>
                <w:numId w:val="54"/>
              </w:numPr>
              <w:rPr>
                <w:rFonts w:ascii="EB Garamond" w:eastAsia="EB Garamond" w:hAnsi="EB Garamond" w:cs="EB Garamond"/>
                <w:color w:val="000000"/>
              </w:rPr>
            </w:pPr>
            <w:hyperlink r:id="rId176">
              <w:r>
                <w:rPr>
                  <w:rFonts w:ascii="EB Garamond" w:eastAsia="EB Garamond" w:hAnsi="EB Garamond" w:cs="EB Garamond"/>
                  <w:color w:val="0000FF"/>
                  <w:u w:val="single"/>
                </w:rPr>
                <w:t>https://bo.neiti.gov.ng/about?utm_</w:t>
              </w:r>
            </w:hyperlink>
          </w:p>
          <w:p w14:paraId="563B831F" w14:textId="357DFD62" w:rsidR="00BB62F4" w:rsidRPr="0094427B" w:rsidRDefault="0094427B" w:rsidP="0094427B">
            <w:pPr>
              <w:numPr>
                <w:ilvl w:val="0"/>
                <w:numId w:val="54"/>
              </w:numPr>
              <w:rPr>
                <w:rFonts w:ascii="EB Garamond" w:eastAsia="EB Garamond" w:hAnsi="EB Garamond" w:cs="EB Garamond"/>
                <w:color w:val="000000"/>
              </w:rPr>
            </w:pPr>
            <w:hyperlink r:id="rId177" w:history="1">
              <w:r w:rsidRPr="00C15E82">
                <w:rPr>
                  <w:rStyle w:val="Hyperlink"/>
                  <w:rFonts w:ascii="EB Garamond" w:eastAsia="EB Garamond" w:hAnsi="EB Garamond" w:cs="EB Garamond"/>
                </w:rPr>
                <w:t>https://neiti.gov.ng/VALIDATION/2026/TRANSPARENCY/NSWG%20Review%20-%20BO.docx</w:t>
              </w:r>
            </w:hyperlink>
            <w:r>
              <w:rPr>
                <w:rFonts w:ascii="EB Garamond" w:eastAsia="EB Garamond" w:hAnsi="EB Garamond" w:cs="EB Garamond"/>
                <w:color w:val="000000"/>
              </w:rPr>
              <w:t xml:space="preserve"> </w:t>
            </w:r>
          </w:p>
          <w:p w14:paraId="4772D6AD" w14:textId="77777777" w:rsidR="0094427B" w:rsidRDefault="0094427B"/>
          <w:p w14:paraId="442226A9" w14:textId="77777777" w:rsidR="00BB62F4" w:rsidRDefault="00000000">
            <w:pPr>
              <w:rPr>
                <w:b/>
                <w:bCs/>
              </w:rPr>
            </w:pPr>
            <w:r>
              <w:rPr>
                <w:b/>
                <w:bCs/>
              </w:rPr>
              <w:t>Does the definition specify reporting obligations for politically exposed persons (PEPs)?</w:t>
            </w:r>
          </w:p>
          <w:p w14:paraId="6D31F889"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31188320" w14:textId="77777777" w:rsidR="00BB62F4" w:rsidRDefault="00000000">
            <w:pPr>
              <w:rPr>
                <w:b/>
                <w:bCs/>
              </w:rPr>
            </w:pPr>
            <w:r>
              <w:rPr>
                <w:b/>
                <w:bCs/>
              </w:rPr>
              <w:t xml:space="preserve">Are PEPs required to disclose their beneficial ownership information </w:t>
            </w:r>
            <w:r>
              <w:rPr>
                <w:b/>
                <w:bCs/>
                <w:u w:val="single"/>
              </w:rPr>
              <w:t>regardless</w:t>
            </w:r>
            <w:r>
              <w:rPr>
                <w:b/>
                <w:bCs/>
              </w:rPr>
              <w:t xml:space="preserve"> of their level of ownership (no threshold)?</w:t>
            </w:r>
          </w:p>
          <w:p w14:paraId="146B3712"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702C7C36" w14:textId="77777777" w:rsidR="00BB62F4" w:rsidRDefault="00BB62F4">
            <w:pPr>
              <w:rPr>
                <w:b/>
                <w:bCs/>
                <w:i/>
                <w:iCs/>
              </w:rPr>
            </w:pPr>
          </w:p>
          <w:p w14:paraId="75A6192D" w14:textId="77777777" w:rsidR="00BB62F4" w:rsidRDefault="00000000">
            <w:pPr>
              <w:rPr>
                <w:b/>
                <w:bCs/>
                <w:i/>
                <w:iCs/>
              </w:rPr>
            </w:pPr>
            <w:r>
              <w:rPr>
                <w:b/>
                <w:bCs/>
                <w:i/>
                <w:iCs/>
              </w:rPr>
              <w:t>Provide source(s) where the reporting obligations of PEPs can be accessed:</w:t>
            </w:r>
          </w:p>
          <w:p w14:paraId="0020D368" w14:textId="77777777" w:rsidR="00BB62F4" w:rsidRDefault="00000000">
            <w:pPr>
              <w:rPr>
                <w:shd w:val="clear" w:color="auto" w:fill="D9E2F3"/>
              </w:rPr>
            </w:pPr>
            <w:r>
              <w:t xml:space="preserve">Systematic disclosures: </w:t>
            </w:r>
            <w:r>
              <w:rPr>
                <w:shd w:val="clear" w:color="auto" w:fill="D9E2F3"/>
              </w:rPr>
              <w:t xml:space="preserve">website www. by the </w:t>
            </w:r>
            <w:hyperlink w:anchor="_heading=h.ceyfom1ili73">
              <w:r>
                <w:rPr>
                  <w:color w:val="0000FF"/>
                  <w:u w:val="single"/>
                  <w:shd w:val="clear" w:color="auto" w:fill="D9E2F3"/>
                </w:rPr>
                <w:t>holders of information</w:t>
              </w:r>
            </w:hyperlink>
            <w:r>
              <w:rPr>
                <w:shd w:val="clear" w:color="auto" w:fill="D9E2F3"/>
              </w:rPr>
              <w:t xml:space="preserve"> or reference to national legislation that defines PEPS and their reporting obligations, where the legal basis exists and serves as basis. </w:t>
            </w:r>
          </w:p>
          <w:p w14:paraId="065ADA3B" w14:textId="77777777" w:rsidR="00BB62F4" w:rsidRDefault="00000000">
            <w:pPr>
              <w:numPr>
                <w:ilvl w:val="0"/>
                <w:numId w:val="55"/>
              </w:numPr>
              <w:rPr>
                <w:rFonts w:ascii="EB Garamond" w:eastAsia="EB Garamond" w:hAnsi="EB Garamond" w:cs="EB Garamond"/>
                <w:color w:val="000000"/>
              </w:rPr>
            </w:pPr>
            <w:hyperlink r:id="rId178">
              <w:r>
                <w:rPr>
                  <w:rFonts w:ascii="EB Garamond" w:eastAsia="EB Garamond" w:hAnsi="EB Garamond" w:cs="EB Garamond"/>
                  <w:color w:val="0000FF"/>
                  <w:u w:val="single"/>
                </w:rPr>
                <w:t>https://www.cbn.gov.ng/Out/2023/CCD/Approved%20PEP%20Guidance%20May%202023-combined.pdf</w:t>
              </w:r>
            </w:hyperlink>
          </w:p>
          <w:p w14:paraId="6672CBAB" w14:textId="77777777" w:rsidR="00BB62F4" w:rsidRDefault="00BB62F4"/>
          <w:p w14:paraId="5CFC5D36" w14:textId="77777777" w:rsidR="00BB62F4" w:rsidRDefault="00000000">
            <w:r>
              <w:t>AND / OR</w:t>
            </w:r>
          </w:p>
          <w:p w14:paraId="5890BE80" w14:textId="77777777" w:rsidR="00BB62F4" w:rsidRDefault="00000000">
            <w:r>
              <w:t xml:space="preserve">Other sources: </w:t>
            </w:r>
            <w:r>
              <w:rPr>
                <w:shd w:val="clear" w:color="auto" w:fill="D9E2F3"/>
              </w:rPr>
              <w:t xml:space="preserve">EITI Report (year and page number), MSG meeting minutes documenting the adoption of the definition and reporting obligations. </w:t>
            </w:r>
          </w:p>
          <w:p w14:paraId="43E92531" w14:textId="77777777" w:rsidR="00BB62F4" w:rsidRDefault="00BB62F4">
            <w:pPr>
              <w:rPr>
                <w:b/>
                <w:bCs/>
              </w:rPr>
            </w:pPr>
          </w:p>
        </w:tc>
      </w:tr>
      <w:tr w:rsidR="00BB62F4" w14:paraId="5A5E9C58" w14:textId="77777777">
        <w:tc>
          <w:tcPr>
            <w:tcW w:w="1668" w:type="dxa"/>
            <w:tcBorders>
              <w:top w:val="single" w:sz="4" w:space="0" w:color="000000"/>
              <w:left w:val="nil"/>
              <w:bottom w:val="single" w:sz="4" w:space="0" w:color="000000"/>
              <w:right w:val="nil"/>
            </w:tcBorders>
            <w:shd w:val="clear" w:color="auto" w:fill="B4C6E7"/>
          </w:tcPr>
          <w:p w14:paraId="7F3432D5" w14:textId="77777777" w:rsidR="00BB62F4" w:rsidRDefault="00000000">
            <w:pPr>
              <w:rPr>
                <w:i/>
                <w:iCs/>
              </w:rPr>
            </w:pPr>
            <w:r>
              <w:rPr>
                <w:b/>
                <w:bCs/>
              </w:rPr>
              <w:lastRenderedPageBreak/>
              <w:t>Required</w:t>
            </w:r>
          </w:p>
        </w:tc>
        <w:tc>
          <w:tcPr>
            <w:tcW w:w="7512" w:type="dxa"/>
            <w:tcBorders>
              <w:top w:val="single" w:sz="4" w:space="0" w:color="000000"/>
              <w:left w:val="nil"/>
              <w:bottom w:val="single" w:sz="4" w:space="0" w:color="000000"/>
              <w:right w:val="nil"/>
            </w:tcBorders>
            <w:shd w:val="clear" w:color="auto" w:fill="B4C6E7"/>
          </w:tcPr>
          <w:p w14:paraId="108F0925" w14:textId="77777777" w:rsidR="00BB62F4" w:rsidRDefault="00000000">
            <w:pPr>
              <w:rPr>
                <w:b/>
                <w:bCs/>
              </w:rPr>
            </w:pPr>
            <w:r>
              <w:rPr>
                <w:b/>
                <w:bCs/>
              </w:rPr>
              <w:t>#2.</w:t>
            </w:r>
            <w:proofErr w:type="gramStart"/>
            <w:r>
              <w:rPr>
                <w:b/>
                <w:bCs/>
              </w:rPr>
              <w:t>5.b</w:t>
            </w:r>
            <w:proofErr w:type="gramEnd"/>
            <w:r>
              <w:rPr>
                <w:b/>
                <w:bCs/>
              </w:rPr>
              <w:t xml:space="preserve"> – Government’s policy on beneficial ownership disclosure</w:t>
            </w:r>
          </w:p>
        </w:tc>
      </w:tr>
      <w:tr w:rsidR="00BB62F4" w14:paraId="393DBF97" w14:textId="77777777">
        <w:tc>
          <w:tcPr>
            <w:tcW w:w="1668" w:type="dxa"/>
            <w:tcBorders>
              <w:top w:val="single" w:sz="4" w:space="0" w:color="000000"/>
              <w:left w:val="nil"/>
              <w:bottom w:val="single" w:sz="4" w:space="0" w:color="000000"/>
              <w:right w:val="nil"/>
            </w:tcBorders>
          </w:tcPr>
          <w:p w14:paraId="7AA0B5E1" w14:textId="77777777" w:rsidR="00BB62F4" w:rsidRDefault="00000000">
            <w:pPr>
              <w:rPr>
                <w:i/>
                <w:iCs/>
              </w:rPr>
            </w:pPr>
            <w:r>
              <w:rPr>
                <w:i/>
                <w:iCs/>
              </w:rPr>
              <w:t>Availability</w:t>
            </w:r>
          </w:p>
        </w:tc>
        <w:tc>
          <w:tcPr>
            <w:tcW w:w="7512" w:type="dxa"/>
            <w:tcBorders>
              <w:top w:val="single" w:sz="4" w:space="0" w:color="000000"/>
              <w:left w:val="nil"/>
              <w:bottom w:val="single" w:sz="4" w:space="0" w:color="000000"/>
              <w:right w:val="nil"/>
            </w:tcBorders>
          </w:tcPr>
          <w:p w14:paraId="026E77BF" w14:textId="77777777" w:rsidR="00BB62F4" w:rsidRDefault="00000000">
            <w:pPr>
              <w:rPr>
                <w:b/>
                <w:bCs/>
              </w:rPr>
            </w:pPr>
            <w:r>
              <w:rPr>
                <w:b/>
                <w:bCs/>
              </w:rPr>
              <w:t>Has the MSG documented the government’s policy on beneficial ownership disclosure?</w:t>
            </w:r>
          </w:p>
          <w:p w14:paraId="62F4895D"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A46B0B8" w14:textId="77777777" w:rsidR="00BB62F4" w:rsidRDefault="00000000">
            <w:pPr>
              <w:rPr>
                <w:b/>
                <w:bCs/>
              </w:rPr>
            </w:pPr>
            <w:r>
              <w:rPr>
                <w:b/>
                <w:bCs/>
              </w:rPr>
              <w:t>Has the MSG documented its discussion on beneficial ownership disclosure?</w:t>
            </w:r>
          </w:p>
          <w:p w14:paraId="64F65DF4"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A7F550C" w14:textId="77777777" w:rsidR="00BB62F4" w:rsidRDefault="00000000">
            <w:pPr>
              <w:rPr>
                <w:b/>
                <w:bCs/>
              </w:rPr>
            </w:pPr>
            <w:r>
              <w:rPr>
                <w:b/>
                <w:bCs/>
              </w:rPr>
              <w:t>Does it include the following elements:</w:t>
            </w:r>
          </w:p>
          <w:p w14:paraId="61EE8D6A" w14:textId="77777777" w:rsidR="00BB62F4" w:rsidRDefault="00000000">
            <w:pPr>
              <w:numPr>
                <w:ilvl w:val="0"/>
                <w:numId w:val="6"/>
              </w:numPr>
              <w:pBdr>
                <w:top w:val="nil"/>
                <w:left w:val="nil"/>
                <w:bottom w:val="nil"/>
                <w:right w:val="nil"/>
                <w:between w:val="nil"/>
              </w:pBdr>
              <w:rPr>
                <w:color w:val="000000"/>
              </w:rPr>
            </w:pPr>
            <w:r>
              <w:rPr>
                <w:color w:val="000000"/>
              </w:rPr>
              <w:t>details on the relevant legal provisions:</w:t>
            </w:r>
          </w:p>
          <w:p w14:paraId="17B41678" w14:textId="77777777" w:rsidR="00BB62F4" w:rsidRDefault="00000000">
            <w:pPr>
              <w:ind w:left="720"/>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72CEAFD7" w14:textId="77777777" w:rsidR="00BB62F4" w:rsidRDefault="00000000">
            <w:pPr>
              <w:numPr>
                <w:ilvl w:val="0"/>
                <w:numId w:val="6"/>
              </w:numPr>
              <w:pBdr>
                <w:top w:val="nil"/>
                <w:left w:val="nil"/>
                <w:bottom w:val="nil"/>
                <w:right w:val="nil"/>
                <w:between w:val="nil"/>
              </w:pBdr>
              <w:rPr>
                <w:color w:val="000000"/>
              </w:rPr>
            </w:pPr>
            <w:r>
              <w:rPr>
                <w:color w:val="000000"/>
              </w:rPr>
              <w:t>actual disclosure practices:</w:t>
            </w:r>
          </w:p>
          <w:p w14:paraId="7E3CB86C" w14:textId="77777777" w:rsidR="00BB62F4" w:rsidRDefault="00000000">
            <w:pPr>
              <w:ind w:left="720"/>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7A7C0808" w14:textId="77777777" w:rsidR="00BB62F4" w:rsidRDefault="00000000">
            <w:pPr>
              <w:numPr>
                <w:ilvl w:val="0"/>
                <w:numId w:val="6"/>
              </w:numPr>
              <w:pBdr>
                <w:top w:val="nil"/>
                <w:left w:val="nil"/>
                <w:bottom w:val="nil"/>
                <w:right w:val="nil"/>
                <w:between w:val="nil"/>
              </w:pBdr>
              <w:rPr>
                <w:color w:val="000000"/>
              </w:rPr>
            </w:pPr>
            <w:r>
              <w:rPr>
                <w:color w:val="000000"/>
              </w:rPr>
              <w:t>any reforms that are planned or underway related to beneficial ownership disclosure:</w:t>
            </w:r>
          </w:p>
          <w:p w14:paraId="034D2467" w14:textId="77777777" w:rsidR="00BB62F4" w:rsidRDefault="00000000">
            <w:pPr>
              <w:ind w:left="720"/>
              <w:rPr>
                <w:b/>
                <w:bCs/>
                <w:i/>
                <w:iCs/>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417A42E2" w14:textId="77777777" w:rsidR="00BB62F4" w:rsidRDefault="00BB62F4">
            <w:pPr>
              <w:rPr>
                <w:b/>
                <w:bCs/>
                <w:i/>
                <w:iCs/>
              </w:rPr>
            </w:pPr>
          </w:p>
          <w:p w14:paraId="0A64AC2D" w14:textId="77777777" w:rsidR="00BB62F4" w:rsidRDefault="00000000">
            <w:pPr>
              <w:rPr>
                <w:b/>
                <w:bCs/>
                <w:i/>
                <w:iCs/>
              </w:rPr>
            </w:pPr>
            <w:r>
              <w:rPr>
                <w:b/>
                <w:bCs/>
                <w:i/>
                <w:iCs/>
              </w:rPr>
              <w:t xml:space="preserve">If applicable, name and link to government </w:t>
            </w:r>
            <w:r>
              <w:rPr>
                <w:b/>
                <w:bCs/>
                <w:i/>
                <w:iCs/>
                <w:u w:val="single"/>
              </w:rPr>
              <w:t>policy</w:t>
            </w:r>
            <w:r>
              <w:rPr>
                <w:b/>
                <w:bCs/>
                <w:i/>
                <w:iCs/>
              </w:rPr>
              <w:t xml:space="preserve"> on the publication of beneficial owners</w:t>
            </w:r>
          </w:p>
          <w:p w14:paraId="532DFD2F" w14:textId="77777777" w:rsidR="00BB62F4" w:rsidRDefault="00000000">
            <w:pPr>
              <w:rPr>
                <w:shd w:val="clear" w:color="auto" w:fill="D9E2F3"/>
              </w:rPr>
            </w:pPr>
            <w:r>
              <w:t xml:space="preserve">Systematic disclosures: </w:t>
            </w:r>
            <w:r>
              <w:rPr>
                <w:shd w:val="clear" w:color="auto" w:fill="D9E2F3"/>
              </w:rPr>
              <w:t xml:space="preserve">website www. by the </w:t>
            </w:r>
            <w:hyperlink w:anchor="_heading=h.ceyfom1ili73">
              <w:r>
                <w:rPr>
                  <w:color w:val="0000FF"/>
                  <w:u w:val="single"/>
                  <w:shd w:val="clear" w:color="auto" w:fill="D9E2F3"/>
                </w:rPr>
                <w:t>holders of information</w:t>
              </w:r>
            </w:hyperlink>
            <w:r>
              <w:rPr>
                <w:shd w:val="clear" w:color="auto" w:fill="D9E2F3"/>
              </w:rPr>
              <w:t xml:space="preserve"> or publisher of laws and regulation</w:t>
            </w:r>
          </w:p>
          <w:p w14:paraId="2656CED0"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rPr>
              <w:t xml:space="preserve">The primary government entity responsible for beneficial ownership policy disclosure, maintenance of the register, and implementation is the Corporate Affairs Commission (CAC). The CAC lunched the Open Central Register of Persons with Significant Control (PSC) on May 25, 2023, which can be accessible </w:t>
            </w:r>
            <w:hyperlink r:id="rId179">
              <w:r>
                <w:rPr>
                  <w:rFonts w:ascii="EB Garamond" w:eastAsia="EB Garamond" w:hAnsi="EB Garamond" w:cs="EB Garamond"/>
                  <w:color w:val="0000FF"/>
                  <w:u w:val="single"/>
                </w:rPr>
                <w:t>here</w:t>
              </w:r>
            </w:hyperlink>
            <w:r>
              <w:rPr>
                <w:rFonts w:ascii="EB Garamond" w:eastAsia="EB Garamond" w:hAnsi="EB Garamond" w:cs="EB Garamond"/>
                <w:color w:val="000000"/>
              </w:rPr>
              <w:t>. Key government entity(</w:t>
            </w:r>
            <w:proofErr w:type="spellStart"/>
            <w:r>
              <w:rPr>
                <w:rFonts w:ascii="EB Garamond" w:eastAsia="EB Garamond" w:hAnsi="EB Garamond" w:cs="EB Garamond"/>
                <w:color w:val="000000"/>
              </w:rPr>
              <w:t>ies</w:t>
            </w:r>
            <w:proofErr w:type="spellEnd"/>
            <w:r>
              <w:rPr>
                <w:rFonts w:ascii="EB Garamond" w:eastAsia="EB Garamond" w:hAnsi="EB Garamond" w:cs="EB Garamond"/>
                <w:color w:val="000000"/>
              </w:rPr>
              <w:t>) involved are;</w:t>
            </w:r>
          </w:p>
          <w:p w14:paraId="6B48DA20" w14:textId="77777777" w:rsidR="00BB62F4" w:rsidRDefault="00000000">
            <w:pPr>
              <w:numPr>
                <w:ilvl w:val="0"/>
                <w:numId w:val="56"/>
              </w:numPr>
              <w:ind w:left="765"/>
              <w:rPr>
                <w:rFonts w:ascii="EB Garamond" w:eastAsia="EB Garamond" w:hAnsi="EB Garamond" w:cs="EB Garamond"/>
                <w:color w:val="000000"/>
              </w:rPr>
            </w:pPr>
            <w:r>
              <w:rPr>
                <w:rFonts w:ascii="EB Garamond" w:eastAsia="EB Garamond" w:hAnsi="EB Garamond" w:cs="EB Garamond"/>
                <w:color w:val="000000"/>
              </w:rPr>
              <w:t>Corporate Affairs Commission (CAC)</w:t>
            </w:r>
          </w:p>
          <w:p w14:paraId="64E4F249" w14:textId="77777777" w:rsidR="00BB62F4" w:rsidRDefault="00000000">
            <w:pPr>
              <w:numPr>
                <w:ilvl w:val="0"/>
                <w:numId w:val="56"/>
              </w:numPr>
              <w:ind w:left="765"/>
              <w:rPr>
                <w:rFonts w:ascii="EB Garamond" w:eastAsia="EB Garamond" w:hAnsi="EB Garamond" w:cs="EB Garamond"/>
                <w:color w:val="000000"/>
              </w:rPr>
            </w:pPr>
            <w:r>
              <w:rPr>
                <w:rFonts w:ascii="EB Garamond" w:eastAsia="EB Garamond" w:hAnsi="EB Garamond" w:cs="EB Garamond"/>
                <w:color w:val="000000"/>
              </w:rPr>
              <w:t>Nigeria Extractive Industries Transparency Initiative (NEITI)</w:t>
            </w:r>
          </w:p>
          <w:p w14:paraId="3E2FD3AE" w14:textId="77777777" w:rsidR="00BB62F4" w:rsidRDefault="00000000">
            <w:pPr>
              <w:numPr>
                <w:ilvl w:val="0"/>
                <w:numId w:val="56"/>
              </w:numPr>
              <w:ind w:left="765"/>
              <w:rPr>
                <w:rFonts w:ascii="EB Garamond" w:eastAsia="EB Garamond" w:hAnsi="EB Garamond" w:cs="EB Garamond"/>
                <w:color w:val="000000"/>
              </w:rPr>
            </w:pPr>
            <w:r>
              <w:rPr>
                <w:rFonts w:ascii="EB Garamond" w:eastAsia="EB Garamond" w:hAnsi="EB Garamond" w:cs="EB Garamond"/>
                <w:color w:val="000000"/>
              </w:rPr>
              <w:t>Nigerian Financial Intelligence Unit (NFIU)</w:t>
            </w:r>
          </w:p>
          <w:p w14:paraId="4BD88909" w14:textId="77777777" w:rsidR="00BB62F4" w:rsidRDefault="00000000">
            <w:pPr>
              <w:numPr>
                <w:ilvl w:val="0"/>
                <w:numId w:val="56"/>
              </w:numPr>
              <w:ind w:left="765"/>
              <w:rPr>
                <w:rFonts w:ascii="EB Garamond" w:eastAsia="EB Garamond" w:hAnsi="EB Garamond" w:cs="EB Garamond"/>
                <w:color w:val="000000"/>
              </w:rPr>
            </w:pPr>
            <w:r>
              <w:rPr>
                <w:rFonts w:ascii="EB Garamond" w:eastAsia="EB Garamond" w:hAnsi="EB Garamond" w:cs="EB Garamond"/>
                <w:color w:val="000000"/>
              </w:rPr>
              <w:t>Nigerian Upstream Petroleum Regulatory Commission (NUPRC)</w:t>
            </w:r>
          </w:p>
          <w:p w14:paraId="4D0DFB68" w14:textId="77777777" w:rsidR="00BB62F4" w:rsidRDefault="00000000">
            <w:pPr>
              <w:numPr>
                <w:ilvl w:val="0"/>
                <w:numId w:val="56"/>
              </w:numPr>
              <w:ind w:left="765"/>
              <w:rPr>
                <w:rFonts w:ascii="EB Garamond" w:eastAsia="EB Garamond" w:hAnsi="EB Garamond" w:cs="EB Garamond"/>
                <w:color w:val="000000"/>
              </w:rPr>
            </w:pPr>
            <w:r>
              <w:rPr>
                <w:rFonts w:ascii="EB Garamond" w:eastAsia="EB Garamond" w:hAnsi="EB Garamond" w:cs="EB Garamond"/>
                <w:color w:val="000000"/>
              </w:rPr>
              <w:t>Security and Exchange Commission (SEC)</w:t>
            </w:r>
          </w:p>
          <w:p w14:paraId="2C729628" w14:textId="77777777" w:rsidR="00BB62F4" w:rsidRDefault="00000000">
            <w:pPr>
              <w:rPr>
                <w:rFonts w:ascii="Times New Roman" w:eastAsia="Times New Roman" w:hAnsi="Times New Roman" w:cs="Times New Roman"/>
                <w:sz w:val="24"/>
                <w:szCs w:val="24"/>
              </w:rPr>
            </w:pPr>
            <w:r>
              <w:rPr>
                <w:rFonts w:ascii="EB Garamond" w:eastAsia="EB Garamond" w:hAnsi="EB Garamond" w:cs="EB Garamond"/>
                <w:color w:val="000000"/>
              </w:rPr>
              <w:t>Key Legal Frame Work and Initiatives includes’</w:t>
            </w:r>
          </w:p>
          <w:p w14:paraId="42F73A0C" w14:textId="77777777" w:rsidR="00BB62F4" w:rsidRDefault="00000000">
            <w:pPr>
              <w:numPr>
                <w:ilvl w:val="0"/>
                <w:numId w:val="57"/>
              </w:numPr>
              <w:rPr>
                <w:rFonts w:ascii="EB Garamond" w:eastAsia="EB Garamond" w:hAnsi="EB Garamond" w:cs="EB Garamond"/>
                <w:color w:val="000000"/>
              </w:rPr>
            </w:pPr>
            <w:r>
              <w:rPr>
                <w:rFonts w:ascii="EB Garamond" w:eastAsia="EB Garamond" w:hAnsi="EB Garamond" w:cs="EB Garamond"/>
                <w:color w:val="000000"/>
              </w:rPr>
              <w:t>Companies and Allied Matters Act (CAMA) 2020</w:t>
            </w:r>
          </w:p>
          <w:p w14:paraId="217ABD12" w14:textId="77777777" w:rsidR="00BB62F4" w:rsidRDefault="00000000">
            <w:pPr>
              <w:numPr>
                <w:ilvl w:val="0"/>
                <w:numId w:val="57"/>
              </w:numPr>
              <w:rPr>
                <w:rFonts w:ascii="EB Garamond" w:eastAsia="EB Garamond" w:hAnsi="EB Garamond" w:cs="EB Garamond"/>
                <w:color w:val="000000"/>
              </w:rPr>
            </w:pPr>
            <w:r>
              <w:rPr>
                <w:rFonts w:ascii="EB Garamond" w:eastAsia="EB Garamond" w:hAnsi="EB Garamond" w:cs="EB Garamond"/>
                <w:color w:val="000000"/>
              </w:rPr>
              <w:t>Persons with Significant Control Regulations, 2022</w:t>
            </w:r>
          </w:p>
          <w:p w14:paraId="7CB425CA" w14:textId="77777777" w:rsidR="00BB62F4" w:rsidRDefault="00000000">
            <w:pPr>
              <w:numPr>
                <w:ilvl w:val="0"/>
                <w:numId w:val="57"/>
              </w:numPr>
              <w:rPr>
                <w:rFonts w:ascii="EB Garamond" w:eastAsia="EB Garamond" w:hAnsi="EB Garamond" w:cs="EB Garamond"/>
                <w:color w:val="000000"/>
              </w:rPr>
            </w:pPr>
            <w:r>
              <w:rPr>
                <w:rFonts w:ascii="EB Garamond" w:eastAsia="EB Garamond" w:hAnsi="EB Garamond" w:cs="EB Garamond"/>
                <w:color w:val="000000"/>
              </w:rPr>
              <w:t>Open Government Partnership (OGP)</w:t>
            </w:r>
          </w:p>
          <w:p w14:paraId="261AB6D0" w14:textId="77777777" w:rsidR="00BB62F4" w:rsidRDefault="00000000">
            <w:pPr>
              <w:numPr>
                <w:ilvl w:val="0"/>
                <w:numId w:val="57"/>
              </w:numPr>
              <w:rPr>
                <w:rFonts w:ascii="EB Garamond" w:eastAsia="EB Garamond" w:hAnsi="EB Garamond" w:cs="EB Garamond"/>
                <w:color w:val="000000"/>
              </w:rPr>
            </w:pPr>
            <w:r>
              <w:rPr>
                <w:rFonts w:ascii="EB Garamond" w:eastAsia="EB Garamond" w:hAnsi="EB Garamond" w:cs="EB Garamond"/>
                <w:color w:val="000000"/>
              </w:rPr>
              <w:t>Beneficial Ownership Data Standard (BODS)</w:t>
            </w:r>
          </w:p>
          <w:p w14:paraId="69E409EC" w14:textId="77777777" w:rsidR="00BB62F4" w:rsidRDefault="00BB62F4">
            <w:pPr>
              <w:rPr>
                <w:b/>
                <w:bCs/>
                <w:i/>
                <w:iCs/>
              </w:rPr>
            </w:pPr>
          </w:p>
          <w:p w14:paraId="6C5DA40F" w14:textId="77777777" w:rsidR="00BB62F4" w:rsidRDefault="00000000">
            <w:pPr>
              <w:rPr>
                <w:b/>
                <w:bCs/>
                <w:i/>
                <w:iCs/>
                <w:shd w:val="clear" w:color="auto" w:fill="D9E2F3"/>
              </w:rPr>
            </w:pPr>
            <w:r>
              <w:rPr>
                <w:b/>
                <w:bCs/>
                <w:i/>
                <w:iCs/>
              </w:rPr>
              <w:t xml:space="preserve">Where to find the MSG’s documentation on the government’s policy and discussion on beneficial ownership disclosure to date: </w:t>
            </w:r>
          </w:p>
          <w:p w14:paraId="43D4DFBF" w14:textId="36CAEC18" w:rsidR="0094427B" w:rsidRDefault="00000000" w:rsidP="0094427B">
            <w:r>
              <w:t xml:space="preserve">Other sources: </w:t>
            </w:r>
            <w:r>
              <w:rPr>
                <w:shd w:val="clear" w:color="auto" w:fill="D9E2F3"/>
              </w:rPr>
              <w:t>EITI Report (year and page number), EITI website etc, MSG meeting minutes (date and link to the minutes)</w:t>
            </w:r>
            <w:r w:rsidR="0094427B">
              <w:rPr>
                <w:rFonts w:ascii="EB Garamond" w:eastAsia="EB Garamond" w:hAnsi="EB Garamond" w:cs="EB Garamond"/>
                <w:color w:val="FF0000"/>
              </w:rPr>
              <w:t xml:space="preserve"> </w:t>
            </w:r>
          </w:p>
          <w:p w14:paraId="6D07ED0F" w14:textId="7641ED2E" w:rsidR="00BB62F4" w:rsidRPr="0094427B" w:rsidRDefault="0094427B">
            <w:pPr>
              <w:numPr>
                <w:ilvl w:val="0"/>
                <w:numId w:val="58"/>
              </w:numPr>
              <w:rPr>
                <w:rFonts w:ascii="EB Garamond" w:eastAsia="EB Garamond" w:hAnsi="EB Garamond" w:cs="EB Garamond"/>
                <w:color w:val="000000"/>
              </w:rPr>
            </w:pPr>
            <w:hyperlink r:id="rId180" w:history="1">
              <w:r w:rsidRPr="00C15E82">
                <w:rPr>
                  <w:rStyle w:val="Hyperlink"/>
                  <w:rFonts w:ascii="EB Garamond" w:eastAsia="EB Garamond" w:hAnsi="EB Garamond" w:cs="EB Garamond"/>
                </w:rPr>
                <w:t>https://eiti.org/countries/nigeria</w:t>
              </w:r>
            </w:hyperlink>
          </w:p>
          <w:p w14:paraId="4E96E856" w14:textId="1E42E7E0" w:rsidR="0094427B" w:rsidRDefault="0094427B">
            <w:pPr>
              <w:numPr>
                <w:ilvl w:val="0"/>
                <w:numId w:val="58"/>
              </w:numPr>
              <w:rPr>
                <w:rFonts w:ascii="EB Garamond" w:eastAsia="EB Garamond" w:hAnsi="EB Garamond" w:cs="EB Garamond"/>
                <w:color w:val="000000"/>
              </w:rPr>
            </w:pPr>
            <w:hyperlink r:id="rId181" w:history="1">
              <w:r w:rsidRPr="00C15E82">
                <w:rPr>
                  <w:rStyle w:val="Hyperlink"/>
                  <w:rFonts w:ascii="EB Garamond" w:eastAsia="EB Garamond" w:hAnsi="EB Garamond" w:cs="EB Garamond"/>
                </w:rPr>
                <w:t>https://neiti.gov.ng/VALIDATION/2026/TRANSPARENCY/NSWG%20Review%20-%20BO.docx</w:t>
              </w:r>
            </w:hyperlink>
            <w:r>
              <w:rPr>
                <w:rFonts w:ascii="EB Garamond" w:eastAsia="EB Garamond" w:hAnsi="EB Garamond" w:cs="EB Garamond"/>
                <w:color w:val="000000"/>
              </w:rPr>
              <w:t xml:space="preserve"> </w:t>
            </w:r>
          </w:p>
          <w:p w14:paraId="641E48FD" w14:textId="77777777" w:rsidR="00BB62F4" w:rsidRDefault="00BB62F4"/>
          <w:p w14:paraId="78E30B84" w14:textId="77777777" w:rsidR="00BB62F4" w:rsidRDefault="00000000">
            <w:pPr>
              <w:rPr>
                <w:b/>
                <w:bCs/>
              </w:rPr>
            </w:pPr>
            <w:r>
              <w:t xml:space="preserve"> </w:t>
            </w:r>
          </w:p>
        </w:tc>
      </w:tr>
      <w:tr w:rsidR="00BB62F4" w14:paraId="4D628EAF" w14:textId="77777777">
        <w:tc>
          <w:tcPr>
            <w:tcW w:w="1668" w:type="dxa"/>
            <w:tcBorders>
              <w:top w:val="single" w:sz="4" w:space="0" w:color="000000"/>
              <w:left w:val="nil"/>
              <w:bottom w:val="single" w:sz="4" w:space="0" w:color="000000"/>
              <w:right w:val="nil"/>
            </w:tcBorders>
            <w:shd w:val="clear" w:color="auto" w:fill="B4C6E7"/>
          </w:tcPr>
          <w:p w14:paraId="10EBC86B" w14:textId="77777777" w:rsidR="00BB62F4" w:rsidRDefault="00000000">
            <w:pPr>
              <w:rPr>
                <w:i/>
                <w:iCs/>
              </w:rPr>
            </w:pPr>
            <w:r>
              <w:rPr>
                <w:b/>
                <w:bCs/>
              </w:rPr>
              <w:lastRenderedPageBreak/>
              <w:t>Required</w:t>
            </w:r>
          </w:p>
        </w:tc>
        <w:tc>
          <w:tcPr>
            <w:tcW w:w="7512" w:type="dxa"/>
            <w:tcBorders>
              <w:top w:val="single" w:sz="4" w:space="0" w:color="000000"/>
              <w:left w:val="nil"/>
              <w:bottom w:val="single" w:sz="4" w:space="0" w:color="000000"/>
              <w:right w:val="nil"/>
            </w:tcBorders>
            <w:shd w:val="clear" w:color="auto" w:fill="B4C6E7"/>
          </w:tcPr>
          <w:p w14:paraId="40746C11" w14:textId="77777777" w:rsidR="00BB62F4" w:rsidRDefault="00000000">
            <w:pPr>
              <w:rPr>
                <w:b/>
                <w:bCs/>
              </w:rPr>
            </w:pPr>
            <w:r>
              <w:rPr>
                <w:b/>
                <w:bCs/>
              </w:rPr>
              <w:t>#2.5.c-d – Disclosure of beneficial ownership information</w:t>
            </w:r>
          </w:p>
        </w:tc>
      </w:tr>
      <w:tr w:rsidR="00BB62F4" w14:paraId="3AD5DD51" w14:textId="77777777">
        <w:tc>
          <w:tcPr>
            <w:tcW w:w="1668" w:type="dxa"/>
            <w:tcBorders>
              <w:top w:val="single" w:sz="4" w:space="0" w:color="000000"/>
              <w:left w:val="nil"/>
              <w:bottom w:val="single" w:sz="4" w:space="0" w:color="000000"/>
              <w:right w:val="nil"/>
            </w:tcBorders>
          </w:tcPr>
          <w:p w14:paraId="5908A67D" w14:textId="77777777" w:rsidR="00BB62F4" w:rsidRDefault="00000000">
            <w:pPr>
              <w:rPr>
                <w:i/>
                <w:iCs/>
              </w:rPr>
            </w:pPr>
            <w:r>
              <w:rPr>
                <w:i/>
                <w:iCs/>
              </w:rPr>
              <w:t>Availability</w:t>
            </w:r>
          </w:p>
        </w:tc>
        <w:tc>
          <w:tcPr>
            <w:tcW w:w="7512" w:type="dxa"/>
            <w:tcBorders>
              <w:top w:val="single" w:sz="4" w:space="0" w:color="000000"/>
              <w:left w:val="nil"/>
              <w:bottom w:val="single" w:sz="4" w:space="0" w:color="000000"/>
              <w:right w:val="nil"/>
            </w:tcBorders>
          </w:tcPr>
          <w:p w14:paraId="3BE7FE39" w14:textId="77777777" w:rsidR="00BB62F4" w:rsidRDefault="00000000">
            <w:pPr>
              <w:rPr>
                <w:b/>
                <w:bCs/>
              </w:rPr>
            </w:pPr>
            <w:r>
              <w:rPr>
                <w:b/>
                <w:bCs/>
              </w:rPr>
              <w:t>Is beneficial ownership information available from the following corporate entities:</w:t>
            </w:r>
          </w:p>
          <w:tbl>
            <w:tblPr>
              <w:tblStyle w:val="aff9"/>
              <w:tblW w:w="6995" w:type="dxa"/>
              <w:tblInd w:w="0"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2331"/>
              <w:gridCol w:w="2332"/>
              <w:gridCol w:w="2332"/>
            </w:tblGrid>
            <w:tr w:rsidR="00BB62F4" w14:paraId="2F4272CA" w14:textId="77777777">
              <w:tc>
                <w:tcPr>
                  <w:tcW w:w="2331" w:type="dxa"/>
                  <w:tcBorders>
                    <w:right w:val="single" w:sz="4" w:space="0" w:color="000000"/>
                  </w:tcBorders>
                </w:tcPr>
                <w:p w14:paraId="4E10B15D" w14:textId="77777777" w:rsidR="00BB62F4" w:rsidRDefault="00000000">
                  <w:pPr>
                    <w:rPr>
                      <w:b/>
                      <w:bCs/>
                    </w:rPr>
                  </w:pPr>
                  <w:r>
                    <w:rPr>
                      <w:b/>
                      <w:bCs/>
                    </w:rPr>
                    <w:t>Type of companies</w:t>
                  </w:r>
                </w:p>
              </w:tc>
              <w:tc>
                <w:tcPr>
                  <w:tcW w:w="2332" w:type="dxa"/>
                  <w:tcBorders>
                    <w:top w:val="nil"/>
                    <w:left w:val="single" w:sz="4" w:space="0" w:color="000000"/>
                    <w:bottom w:val="single" w:sz="4" w:space="0" w:color="000000"/>
                    <w:right w:val="single" w:sz="4" w:space="0" w:color="000000"/>
                  </w:tcBorders>
                </w:tcPr>
                <w:p w14:paraId="717122C3" w14:textId="77777777" w:rsidR="00BB62F4" w:rsidRDefault="00000000">
                  <w:pPr>
                    <w:rPr>
                      <w:b/>
                      <w:bCs/>
                    </w:rPr>
                  </w:pPr>
                  <w:r>
                    <w:rPr>
                      <w:b/>
                      <w:bCs/>
                    </w:rPr>
                    <w:t>Has the government requested BO information?</w:t>
                  </w:r>
                </w:p>
              </w:tc>
              <w:tc>
                <w:tcPr>
                  <w:tcW w:w="2332" w:type="dxa"/>
                  <w:tcBorders>
                    <w:top w:val="nil"/>
                    <w:left w:val="single" w:sz="4" w:space="0" w:color="000000"/>
                    <w:bottom w:val="single" w:sz="4" w:space="0" w:color="000000"/>
                  </w:tcBorders>
                </w:tcPr>
                <w:p w14:paraId="1C4F74D9" w14:textId="77777777" w:rsidR="00BB62F4" w:rsidRDefault="00000000">
                  <w:pPr>
                    <w:rPr>
                      <w:b/>
                      <w:bCs/>
                    </w:rPr>
                  </w:pPr>
                  <w:r>
                    <w:rPr>
                      <w:b/>
                      <w:bCs/>
                    </w:rPr>
                    <w:t>Have companies publicly disclosed BO information?</w:t>
                  </w:r>
                </w:p>
              </w:tc>
            </w:tr>
            <w:tr w:rsidR="00BB62F4" w14:paraId="4681D6E4" w14:textId="77777777">
              <w:tc>
                <w:tcPr>
                  <w:tcW w:w="2331" w:type="dxa"/>
                  <w:tcBorders>
                    <w:right w:val="single" w:sz="4" w:space="0" w:color="000000"/>
                  </w:tcBorders>
                </w:tcPr>
                <w:p w14:paraId="233A6D93" w14:textId="77777777" w:rsidR="00BB62F4" w:rsidRDefault="00000000">
                  <w:r>
                    <w:rPr>
                      <w:b/>
                      <w:bCs/>
                    </w:rPr>
                    <w:t>Applying</w:t>
                  </w:r>
                  <w:r>
                    <w:t xml:space="preserve"> for a </w:t>
                  </w:r>
                  <w:r>
                    <w:rPr>
                      <w:b/>
                      <w:bCs/>
                    </w:rPr>
                    <w:t>production</w:t>
                  </w:r>
                  <w:r>
                    <w:t xml:space="preserve"> license or contract</w:t>
                  </w:r>
                </w:p>
              </w:tc>
              <w:tc>
                <w:tcPr>
                  <w:tcW w:w="2332" w:type="dxa"/>
                  <w:tcBorders>
                    <w:top w:val="single" w:sz="4" w:space="0" w:color="000000"/>
                    <w:left w:val="single" w:sz="4" w:space="0" w:color="000000"/>
                    <w:bottom w:val="single" w:sz="4" w:space="0" w:color="000000"/>
                    <w:right w:val="single" w:sz="4" w:space="0" w:color="000000"/>
                  </w:tcBorders>
                </w:tcPr>
                <w:p w14:paraId="138A711A"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c>
                <w:tcPr>
                  <w:tcW w:w="2332" w:type="dxa"/>
                  <w:tcBorders>
                    <w:top w:val="single" w:sz="4" w:space="0" w:color="000000"/>
                    <w:left w:val="single" w:sz="4" w:space="0" w:color="000000"/>
                    <w:bottom w:val="single" w:sz="4" w:space="0" w:color="000000"/>
                  </w:tcBorders>
                </w:tcPr>
                <w:p w14:paraId="4121BDF9"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r w:rsidR="00BB62F4" w14:paraId="5A00A553" w14:textId="77777777">
              <w:tc>
                <w:tcPr>
                  <w:tcW w:w="2331" w:type="dxa"/>
                  <w:tcBorders>
                    <w:right w:val="single" w:sz="4" w:space="0" w:color="000000"/>
                  </w:tcBorders>
                </w:tcPr>
                <w:p w14:paraId="7E1DD612" w14:textId="77777777" w:rsidR="00BB62F4" w:rsidRDefault="00000000">
                  <w:r>
                    <w:rPr>
                      <w:b/>
                      <w:bCs/>
                    </w:rPr>
                    <w:t>Holding</w:t>
                  </w:r>
                  <w:r>
                    <w:t xml:space="preserve"> a participating interest in a </w:t>
                  </w:r>
                  <w:r>
                    <w:rPr>
                      <w:b/>
                      <w:bCs/>
                    </w:rPr>
                    <w:t>production</w:t>
                  </w:r>
                  <w:r>
                    <w:t xml:space="preserve"> license or contract</w:t>
                  </w:r>
                </w:p>
              </w:tc>
              <w:tc>
                <w:tcPr>
                  <w:tcW w:w="2332" w:type="dxa"/>
                  <w:tcBorders>
                    <w:top w:val="single" w:sz="4" w:space="0" w:color="000000"/>
                    <w:left w:val="single" w:sz="4" w:space="0" w:color="000000"/>
                    <w:bottom w:val="single" w:sz="4" w:space="0" w:color="000000"/>
                    <w:right w:val="single" w:sz="4" w:space="0" w:color="000000"/>
                  </w:tcBorders>
                </w:tcPr>
                <w:p w14:paraId="59AA6A4C"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c>
                <w:tcPr>
                  <w:tcW w:w="2332" w:type="dxa"/>
                  <w:tcBorders>
                    <w:top w:val="single" w:sz="4" w:space="0" w:color="000000"/>
                    <w:left w:val="single" w:sz="4" w:space="0" w:color="000000"/>
                    <w:bottom w:val="single" w:sz="4" w:space="0" w:color="000000"/>
                  </w:tcBorders>
                </w:tcPr>
                <w:p w14:paraId="79BCC5E4"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r w:rsidR="00BB62F4" w14:paraId="5336207F" w14:textId="77777777">
              <w:tc>
                <w:tcPr>
                  <w:tcW w:w="2331" w:type="dxa"/>
                  <w:tcBorders>
                    <w:right w:val="single" w:sz="4" w:space="0" w:color="000000"/>
                  </w:tcBorders>
                </w:tcPr>
                <w:p w14:paraId="65D357C3" w14:textId="77777777" w:rsidR="00BB62F4" w:rsidRDefault="00000000">
                  <w:pPr>
                    <w:rPr>
                      <w:b/>
                      <w:bCs/>
                    </w:rPr>
                  </w:pPr>
                  <w:r>
                    <w:rPr>
                      <w:b/>
                      <w:bCs/>
                    </w:rPr>
                    <w:t>Applying</w:t>
                  </w:r>
                  <w:r>
                    <w:t xml:space="preserve"> for an </w:t>
                  </w:r>
                  <w:r>
                    <w:rPr>
                      <w:b/>
                      <w:bCs/>
                    </w:rPr>
                    <w:t>exploration</w:t>
                  </w:r>
                  <w:r>
                    <w:t xml:space="preserve"> license or contract</w:t>
                  </w:r>
                </w:p>
              </w:tc>
              <w:tc>
                <w:tcPr>
                  <w:tcW w:w="2332" w:type="dxa"/>
                  <w:tcBorders>
                    <w:top w:val="single" w:sz="4" w:space="0" w:color="000000"/>
                    <w:left w:val="single" w:sz="4" w:space="0" w:color="000000"/>
                    <w:bottom w:val="single" w:sz="4" w:space="0" w:color="000000"/>
                    <w:right w:val="single" w:sz="4" w:space="0" w:color="000000"/>
                  </w:tcBorders>
                </w:tcPr>
                <w:p w14:paraId="77DAC248"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c>
                <w:tcPr>
                  <w:tcW w:w="2332" w:type="dxa"/>
                  <w:tcBorders>
                    <w:top w:val="single" w:sz="4" w:space="0" w:color="000000"/>
                    <w:left w:val="single" w:sz="4" w:space="0" w:color="000000"/>
                    <w:bottom w:val="single" w:sz="4" w:space="0" w:color="000000"/>
                  </w:tcBorders>
                </w:tcPr>
                <w:p w14:paraId="1E5C3A52"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r w:rsidR="00BB62F4" w14:paraId="2E9CA015" w14:textId="77777777">
              <w:tc>
                <w:tcPr>
                  <w:tcW w:w="2331" w:type="dxa"/>
                  <w:tcBorders>
                    <w:right w:val="single" w:sz="4" w:space="0" w:color="000000"/>
                  </w:tcBorders>
                </w:tcPr>
                <w:p w14:paraId="5E8997A1" w14:textId="77777777" w:rsidR="00BB62F4" w:rsidRDefault="00000000">
                  <w:pPr>
                    <w:rPr>
                      <w:b/>
                      <w:bCs/>
                    </w:rPr>
                  </w:pPr>
                  <w:r>
                    <w:rPr>
                      <w:b/>
                      <w:bCs/>
                    </w:rPr>
                    <w:t>Holding</w:t>
                  </w:r>
                  <w:r>
                    <w:t xml:space="preserve"> a participating interest in an </w:t>
                  </w:r>
                  <w:r>
                    <w:rPr>
                      <w:b/>
                      <w:bCs/>
                    </w:rPr>
                    <w:t>exploration</w:t>
                  </w:r>
                  <w:r>
                    <w:t xml:space="preserve"> license or contract</w:t>
                  </w:r>
                </w:p>
              </w:tc>
              <w:tc>
                <w:tcPr>
                  <w:tcW w:w="2332" w:type="dxa"/>
                  <w:tcBorders>
                    <w:top w:val="single" w:sz="4" w:space="0" w:color="000000"/>
                    <w:left w:val="single" w:sz="4" w:space="0" w:color="000000"/>
                    <w:bottom w:val="nil"/>
                    <w:right w:val="single" w:sz="4" w:space="0" w:color="000000"/>
                  </w:tcBorders>
                </w:tcPr>
                <w:p w14:paraId="5F8AE01E"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c>
                <w:tcPr>
                  <w:tcW w:w="2332" w:type="dxa"/>
                  <w:tcBorders>
                    <w:top w:val="single" w:sz="4" w:space="0" w:color="000000"/>
                    <w:left w:val="single" w:sz="4" w:space="0" w:color="000000"/>
                    <w:bottom w:val="nil"/>
                  </w:tcBorders>
                </w:tcPr>
                <w:p w14:paraId="6DC4B690"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bl>
          <w:p w14:paraId="49B62384" w14:textId="77777777" w:rsidR="00BB62F4" w:rsidRDefault="00BB62F4">
            <w:pPr>
              <w:rPr>
                <w:b/>
                <w:bCs/>
              </w:rPr>
            </w:pPr>
          </w:p>
          <w:p w14:paraId="6B7D4948" w14:textId="77777777" w:rsidR="00BB62F4" w:rsidRDefault="00000000">
            <w:pPr>
              <w:rPr>
                <w:b/>
                <w:bCs/>
              </w:rPr>
            </w:pPr>
            <w:r>
              <w:rPr>
                <w:b/>
                <w:bCs/>
              </w:rPr>
              <w:t>Do the beneficial ownership disclosures include:</w:t>
            </w:r>
          </w:p>
          <w:tbl>
            <w:tblPr>
              <w:tblStyle w:val="affa"/>
              <w:tblW w:w="6995" w:type="dxa"/>
              <w:tblInd w:w="0"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2331"/>
              <w:gridCol w:w="2332"/>
              <w:gridCol w:w="2332"/>
            </w:tblGrid>
            <w:tr w:rsidR="00BB62F4" w14:paraId="697BBDEF" w14:textId="77777777">
              <w:tc>
                <w:tcPr>
                  <w:tcW w:w="2331" w:type="dxa"/>
                  <w:tcBorders>
                    <w:right w:val="single" w:sz="4" w:space="0" w:color="000000"/>
                  </w:tcBorders>
                </w:tcPr>
                <w:p w14:paraId="40713030" w14:textId="77777777" w:rsidR="00BB62F4" w:rsidRDefault="00000000">
                  <w:pPr>
                    <w:rPr>
                      <w:b/>
                      <w:bCs/>
                    </w:rPr>
                  </w:pPr>
                  <w:r>
                    <w:rPr>
                      <w:b/>
                      <w:bCs/>
                    </w:rPr>
                    <w:t>Information</w:t>
                  </w:r>
                </w:p>
              </w:tc>
              <w:tc>
                <w:tcPr>
                  <w:tcW w:w="2332" w:type="dxa"/>
                  <w:tcBorders>
                    <w:top w:val="nil"/>
                    <w:left w:val="single" w:sz="4" w:space="0" w:color="000000"/>
                    <w:bottom w:val="single" w:sz="4" w:space="0" w:color="000000"/>
                    <w:right w:val="single" w:sz="4" w:space="0" w:color="000000"/>
                  </w:tcBorders>
                </w:tcPr>
                <w:p w14:paraId="515283F8" w14:textId="77777777" w:rsidR="00BB62F4" w:rsidRDefault="00000000">
                  <w:pPr>
                    <w:rPr>
                      <w:b/>
                      <w:bCs/>
                    </w:rPr>
                  </w:pPr>
                  <w:r>
                    <w:rPr>
                      <w:b/>
                      <w:bCs/>
                    </w:rPr>
                    <w:t>Has the government requested the information (</w:t>
                  </w:r>
                  <w:proofErr w:type="spellStart"/>
                  <w:r>
                    <w:rPr>
                      <w:b/>
                      <w:bCs/>
                    </w:rPr>
                    <w:t>ie</w:t>
                  </w:r>
                  <w:proofErr w:type="spellEnd"/>
                  <w:r>
                    <w:rPr>
                      <w:b/>
                      <w:bCs/>
                    </w:rPr>
                    <w:t xml:space="preserve"> in a template)?</w:t>
                  </w:r>
                </w:p>
              </w:tc>
              <w:tc>
                <w:tcPr>
                  <w:tcW w:w="2332" w:type="dxa"/>
                  <w:tcBorders>
                    <w:top w:val="nil"/>
                    <w:left w:val="single" w:sz="4" w:space="0" w:color="000000"/>
                    <w:bottom w:val="single" w:sz="4" w:space="0" w:color="000000"/>
                  </w:tcBorders>
                </w:tcPr>
                <w:p w14:paraId="659D9576" w14:textId="77777777" w:rsidR="00BB62F4" w:rsidRDefault="00000000">
                  <w:pPr>
                    <w:rPr>
                      <w:b/>
                      <w:bCs/>
                    </w:rPr>
                  </w:pPr>
                  <w:r>
                    <w:rPr>
                      <w:b/>
                      <w:bCs/>
                    </w:rPr>
                    <w:t>Have companies publicly disclosed the information? (if partial, choose ‘no)</w:t>
                  </w:r>
                </w:p>
              </w:tc>
            </w:tr>
            <w:tr w:rsidR="00BB62F4" w14:paraId="0654D41A" w14:textId="77777777">
              <w:tc>
                <w:tcPr>
                  <w:tcW w:w="2331" w:type="dxa"/>
                  <w:tcBorders>
                    <w:right w:val="single" w:sz="4" w:space="0" w:color="000000"/>
                  </w:tcBorders>
                </w:tcPr>
                <w:p w14:paraId="4B327382" w14:textId="77777777" w:rsidR="00BB62F4" w:rsidRDefault="00000000">
                  <w:r>
                    <w:t>Identity(</w:t>
                  </w:r>
                  <w:proofErr w:type="spellStart"/>
                  <w:r>
                    <w:t>ies</w:t>
                  </w:r>
                  <w:proofErr w:type="spellEnd"/>
                  <w:r>
                    <w:t>)/name of the beneficial owner(s)</w:t>
                  </w:r>
                </w:p>
              </w:tc>
              <w:tc>
                <w:tcPr>
                  <w:tcW w:w="2332" w:type="dxa"/>
                  <w:tcBorders>
                    <w:top w:val="single" w:sz="4" w:space="0" w:color="000000"/>
                    <w:left w:val="single" w:sz="4" w:space="0" w:color="000000"/>
                    <w:bottom w:val="single" w:sz="4" w:space="0" w:color="000000"/>
                    <w:right w:val="single" w:sz="4" w:space="0" w:color="000000"/>
                  </w:tcBorders>
                </w:tcPr>
                <w:p w14:paraId="69861B77"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c>
                <w:tcPr>
                  <w:tcW w:w="2332" w:type="dxa"/>
                  <w:tcBorders>
                    <w:top w:val="single" w:sz="4" w:space="0" w:color="000000"/>
                    <w:left w:val="single" w:sz="4" w:space="0" w:color="000000"/>
                    <w:bottom w:val="single" w:sz="4" w:space="0" w:color="000000"/>
                  </w:tcBorders>
                </w:tcPr>
                <w:p w14:paraId="58D88AE2"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r w:rsidR="00BB62F4" w14:paraId="38EB748B" w14:textId="77777777">
              <w:tc>
                <w:tcPr>
                  <w:tcW w:w="2331" w:type="dxa"/>
                  <w:tcBorders>
                    <w:right w:val="single" w:sz="4" w:space="0" w:color="000000"/>
                  </w:tcBorders>
                </w:tcPr>
                <w:p w14:paraId="7F598E4E" w14:textId="77777777" w:rsidR="00BB62F4" w:rsidRDefault="00000000">
                  <w:r>
                    <w:t>Level of ownership</w:t>
                  </w:r>
                </w:p>
              </w:tc>
              <w:tc>
                <w:tcPr>
                  <w:tcW w:w="2332" w:type="dxa"/>
                  <w:tcBorders>
                    <w:top w:val="single" w:sz="4" w:space="0" w:color="000000"/>
                    <w:left w:val="single" w:sz="4" w:space="0" w:color="000000"/>
                    <w:bottom w:val="single" w:sz="4" w:space="0" w:color="000000"/>
                    <w:right w:val="single" w:sz="4" w:space="0" w:color="000000"/>
                  </w:tcBorders>
                </w:tcPr>
                <w:p w14:paraId="29B554A0"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c>
                <w:tcPr>
                  <w:tcW w:w="2332" w:type="dxa"/>
                  <w:tcBorders>
                    <w:top w:val="single" w:sz="4" w:space="0" w:color="000000"/>
                    <w:left w:val="single" w:sz="4" w:space="0" w:color="000000"/>
                    <w:bottom w:val="single" w:sz="4" w:space="0" w:color="000000"/>
                  </w:tcBorders>
                </w:tcPr>
                <w:p w14:paraId="2C7C5591"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r w:rsidR="00BB62F4" w14:paraId="512C6BAA" w14:textId="77777777">
              <w:tc>
                <w:tcPr>
                  <w:tcW w:w="2331" w:type="dxa"/>
                  <w:tcBorders>
                    <w:right w:val="single" w:sz="4" w:space="0" w:color="000000"/>
                  </w:tcBorders>
                </w:tcPr>
                <w:p w14:paraId="3BE2BC4F" w14:textId="77777777" w:rsidR="00BB62F4" w:rsidRDefault="00000000">
                  <w:r>
                    <w:t xml:space="preserve">Details about </w:t>
                  </w:r>
                  <w:r>
                    <w:rPr>
                      <w:u w:val="single"/>
                    </w:rPr>
                    <w:t>how</w:t>
                  </w:r>
                  <w:r>
                    <w:t xml:space="preserve"> the control is exerted</w:t>
                  </w:r>
                </w:p>
              </w:tc>
              <w:tc>
                <w:tcPr>
                  <w:tcW w:w="2332" w:type="dxa"/>
                  <w:tcBorders>
                    <w:top w:val="single" w:sz="4" w:space="0" w:color="000000"/>
                    <w:left w:val="single" w:sz="4" w:space="0" w:color="000000"/>
                    <w:bottom w:val="single" w:sz="4" w:space="0" w:color="000000"/>
                    <w:right w:val="single" w:sz="4" w:space="0" w:color="000000"/>
                  </w:tcBorders>
                </w:tcPr>
                <w:p w14:paraId="045EE4F1"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c>
                <w:tcPr>
                  <w:tcW w:w="2332" w:type="dxa"/>
                  <w:tcBorders>
                    <w:top w:val="single" w:sz="4" w:space="0" w:color="000000"/>
                    <w:left w:val="single" w:sz="4" w:space="0" w:color="000000"/>
                    <w:bottom w:val="single" w:sz="4" w:space="0" w:color="000000"/>
                  </w:tcBorders>
                </w:tcPr>
                <w:p w14:paraId="4781948B"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r w:rsidR="00BB62F4" w14:paraId="7F736111" w14:textId="77777777">
              <w:tc>
                <w:tcPr>
                  <w:tcW w:w="2331" w:type="dxa"/>
                  <w:tcBorders>
                    <w:right w:val="single" w:sz="4" w:space="0" w:color="000000"/>
                  </w:tcBorders>
                </w:tcPr>
                <w:p w14:paraId="302B4A6D" w14:textId="77777777" w:rsidR="00BB62F4" w:rsidRDefault="00000000">
                  <w:pPr>
                    <w:rPr>
                      <w:b/>
                      <w:bCs/>
                    </w:rPr>
                  </w:pPr>
                  <w:r>
                    <w:t>The nationality of the beneficial owner</w:t>
                  </w:r>
                </w:p>
              </w:tc>
              <w:tc>
                <w:tcPr>
                  <w:tcW w:w="2332" w:type="dxa"/>
                  <w:tcBorders>
                    <w:top w:val="single" w:sz="4" w:space="0" w:color="000000"/>
                    <w:left w:val="single" w:sz="4" w:space="0" w:color="000000"/>
                    <w:bottom w:val="single" w:sz="4" w:space="0" w:color="000000"/>
                    <w:right w:val="single" w:sz="4" w:space="0" w:color="000000"/>
                  </w:tcBorders>
                </w:tcPr>
                <w:p w14:paraId="07D30022"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c>
                <w:tcPr>
                  <w:tcW w:w="2332" w:type="dxa"/>
                  <w:tcBorders>
                    <w:top w:val="single" w:sz="4" w:space="0" w:color="000000"/>
                    <w:left w:val="single" w:sz="4" w:space="0" w:color="000000"/>
                    <w:bottom w:val="single" w:sz="4" w:space="0" w:color="000000"/>
                  </w:tcBorders>
                </w:tcPr>
                <w:p w14:paraId="44B8C53C"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r w:rsidR="00BB62F4" w14:paraId="1B57C266" w14:textId="77777777">
              <w:tc>
                <w:tcPr>
                  <w:tcW w:w="2331" w:type="dxa"/>
                  <w:tcBorders>
                    <w:right w:val="single" w:sz="4" w:space="0" w:color="000000"/>
                  </w:tcBorders>
                </w:tcPr>
                <w:p w14:paraId="085FB3F4" w14:textId="77777777" w:rsidR="00BB62F4" w:rsidRDefault="00000000">
                  <w:r>
                    <w:lastRenderedPageBreak/>
                    <w:t>The country of residence</w:t>
                  </w:r>
                </w:p>
              </w:tc>
              <w:tc>
                <w:tcPr>
                  <w:tcW w:w="2332" w:type="dxa"/>
                  <w:tcBorders>
                    <w:top w:val="single" w:sz="4" w:space="0" w:color="000000"/>
                    <w:left w:val="single" w:sz="4" w:space="0" w:color="000000"/>
                    <w:bottom w:val="single" w:sz="4" w:space="0" w:color="000000"/>
                    <w:right w:val="single" w:sz="4" w:space="0" w:color="000000"/>
                  </w:tcBorders>
                </w:tcPr>
                <w:p w14:paraId="5A8744F9" w14:textId="77777777" w:rsidR="00BB62F4" w:rsidRDefault="00000000">
                  <w:pPr>
                    <w:rPr>
                      <w:rFonts w:ascii="MS Gothic" w:eastAsia="MS Gothic" w:hAnsi="MS Gothic" w:cs="MS Gothic"/>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c>
                <w:tcPr>
                  <w:tcW w:w="2332" w:type="dxa"/>
                  <w:tcBorders>
                    <w:top w:val="single" w:sz="4" w:space="0" w:color="000000"/>
                    <w:left w:val="single" w:sz="4" w:space="0" w:color="000000"/>
                    <w:bottom w:val="single" w:sz="4" w:space="0" w:color="000000"/>
                  </w:tcBorders>
                </w:tcPr>
                <w:p w14:paraId="126DDA2E" w14:textId="77777777" w:rsidR="00BB62F4" w:rsidRDefault="00000000">
                  <w:pPr>
                    <w:rPr>
                      <w:rFonts w:ascii="MS Gothic" w:eastAsia="MS Gothic" w:hAnsi="MS Gothic" w:cs="MS Gothic"/>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r w:rsidR="00BB62F4" w14:paraId="72023182" w14:textId="77777777">
              <w:tc>
                <w:tcPr>
                  <w:tcW w:w="2331" w:type="dxa"/>
                  <w:tcBorders>
                    <w:right w:val="single" w:sz="4" w:space="0" w:color="000000"/>
                  </w:tcBorders>
                </w:tcPr>
                <w:p w14:paraId="10C97290" w14:textId="77777777" w:rsidR="00BB62F4" w:rsidRDefault="00000000">
                  <w:r>
                    <w:t>Whether it is a politically exposed person</w:t>
                  </w:r>
                </w:p>
              </w:tc>
              <w:tc>
                <w:tcPr>
                  <w:tcW w:w="2332" w:type="dxa"/>
                  <w:tcBorders>
                    <w:top w:val="single" w:sz="4" w:space="0" w:color="000000"/>
                    <w:left w:val="single" w:sz="4" w:space="0" w:color="000000"/>
                    <w:bottom w:val="nil"/>
                    <w:right w:val="single" w:sz="4" w:space="0" w:color="000000"/>
                  </w:tcBorders>
                </w:tcPr>
                <w:p w14:paraId="1B3CB7EF" w14:textId="77777777" w:rsidR="00BB62F4" w:rsidRDefault="00000000">
                  <w:pPr>
                    <w:rPr>
                      <w:rFonts w:ascii="MS Gothic" w:eastAsia="MS Gothic" w:hAnsi="MS Gothic" w:cs="MS Gothic"/>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c>
                <w:tcPr>
                  <w:tcW w:w="2332" w:type="dxa"/>
                  <w:tcBorders>
                    <w:top w:val="single" w:sz="4" w:space="0" w:color="000000"/>
                    <w:left w:val="single" w:sz="4" w:space="0" w:color="000000"/>
                    <w:bottom w:val="nil"/>
                  </w:tcBorders>
                </w:tcPr>
                <w:p w14:paraId="03691974" w14:textId="77777777" w:rsidR="00BB62F4" w:rsidRDefault="00000000">
                  <w:pPr>
                    <w:rPr>
                      <w:rFonts w:ascii="MS Gothic" w:eastAsia="MS Gothic" w:hAnsi="MS Gothic" w:cs="MS Gothic"/>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bl>
          <w:p w14:paraId="5932352C" w14:textId="77777777" w:rsidR="00BB62F4" w:rsidRDefault="00BB62F4">
            <w:pPr>
              <w:rPr>
                <w:b/>
                <w:bCs/>
              </w:rPr>
            </w:pPr>
          </w:p>
          <w:p w14:paraId="762EB704" w14:textId="77777777" w:rsidR="00BB62F4" w:rsidRDefault="00000000">
            <w:pPr>
              <w:pBdr>
                <w:top w:val="nil"/>
                <w:left w:val="nil"/>
                <w:bottom w:val="nil"/>
                <w:right w:val="nil"/>
                <w:between w:val="nil"/>
              </w:pBdr>
              <w:shd w:val="clear" w:color="auto" w:fill="FFFFFF"/>
              <w:ind w:left="33"/>
              <w:rPr>
                <w:b/>
                <w:bCs/>
                <w:i/>
                <w:iCs/>
                <w:color w:val="000000"/>
              </w:rPr>
            </w:pPr>
            <w:r>
              <w:rPr>
                <w:b/>
                <w:bCs/>
                <w:i/>
                <w:iCs/>
                <w:color w:val="000000"/>
              </w:rPr>
              <w:t>Where to find beneficial owners of companies holding licenses:</w:t>
            </w:r>
          </w:p>
          <w:p w14:paraId="79301314" w14:textId="77777777" w:rsidR="00BB62F4" w:rsidRDefault="00000000">
            <w:pPr>
              <w:pBdr>
                <w:top w:val="nil"/>
                <w:left w:val="nil"/>
                <w:bottom w:val="nil"/>
                <w:right w:val="nil"/>
                <w:between w:val="nil"/>
              </w:pBdr>
              <w:shd w:val="clear" w:color="auto" w:fill="FFFFFF"/>
              <w:ind w:left="33"/>
              <w:rPr>
                <w:color w:val="0000FF"/>
                <w:u w:val="single"/>
                <w:shd w:val="clear" w:color="auto" w:fill="D9E2F3"/>
              </w:rPr>
            </w:pPr>
            <w:r>
              <w:rPr>
                <w:color w:val="000000"/>
              </w:rPr>
              <w:t xml:space="preserve">Systematic disclosures: </w:t>
            </w:r>
            <w:r>
              <w:rPr>
                <w:color w:val="000000"/>
                <w:shd w:val="clear" w:color="auto" w:fill="D9E2F3"/>
              </w:rPr>
              <w:t xml:space="preserve">website www. or routine publication, typically by the </w:t>
            </w:r>
            <w:hyperlink w:anchor="_heading=h.ceyfom1ili73">
              <w:r>
                <w:rPr>
                  <w:color w:val="0000FF"/>
                  <w:u w:val="single"/>
                  <w:shd w:val="clear" w:color="auto" w:fill="D9E2F3"/>
                </w:rPr>
                <w:t>holders of information</w:t>
              </w:r>
            </w:hyperlink>
          </w:p>
          <w:p w14:paraId="4458E592" w14:textId="77777777" w:rsidR="00BB62F4" w:rsidRDefault="00000000">
            <w:pPr>
              <w:numPr>
                <w:ilvl w:val="0"/>
                <w:numId w:val="59"/>
              </w:numPr>
              <w:shd w:val="clear" w:color="auto" w:fill="FFFFFF"/>
              <w:spacing w:after="0"/>
              <w:ind w:left="753"/>
              <w:rPr>
                <w:rFonts w:ascii="EB Garamond" w:eastAsia="EB Garamond" w:hAnsi="EB Garamond" w:cs="EB Garamond"/>
                <w:color w:val="000000"/>
              </w:rPr>
            </w:pPr>
            <w:hyperlink r:id="rId182">
              <w:r>
                <w:rPr>
                  <w:rFonts w:ascii="EB Garamond" w:eastAsia="EB Garamond" w:hAnsi="EB Garamond" w:cs="EB Garamond"/>
                  <w:color w:val="000000"/>
                  <w:u w:val="single"/>
                </w:rPr>
                <w:t>CAC BENEFICIAL OWNERSHIP PORTAL</w:t>
              </w:r>
            </w:hyperlink>
          </w:p>
          <w:p w14:paraId="216BDCE5" w14:textId="77777777" w:rsidR="00BB62F4" w:rsidRDefault="00000000">
            <w:pPr>
              <w:numPr>
                <w:ilvl w:val="0"/>
                <w:numId w:val="59"/>
              </w:numPr>
              <w:shd w:val="clear" w:color="auto" w:fill="FFFFFF"/>
              <w:spacing w:before="0"/>
              <w:ind w:left="753"/>
              <w:rPr>
                <w:rFonts w:ascii="EB Garamond" w:eastAsia="EB Garamond" w:hAnsi="EB Garamond" w:cs="EB Garamond"/>
                <w:color w:val="000000"/>
              </w:rPr>
            </w:pPr>
            <w:hyperlink r:id="rId183">
              <w:r>
                <w:rPr>
                  <w:rFonts w:ascii="EB Garamond" w:eastAsia="EB Garamond" w:hAnsi="EB Garamond" w:cs="EB Garamond"/>
                  <w:color w:val="000000"/>
                  <w:u w:val="single"/>
                </w:rPr>
                <w:t>https://www.nuprc.gov.ng/beneficial-ownership/</w:t>
              </w:r>
            </w:hyperlink>
          </w:p>
          <w:p w14:paraId="42060247" w14:textId="77777777" w:rsidR="00BB62F4" w:rsidRDefault="00BB62F4">
            <w:pPr>
              <w:pBdr>
                <w:top w:val="nil"/>
                <w:left w:val="nil"/>
                <w:bottom w:val="nil"/>
                <w:right w:val="nil"/>
                <w:between w:val="nil"/>
              </w:pBdr>
              <w:shd w:val="clear" w:color="auto" w:fill="FFFFFF"/>
              <w:ind w:left="33"/>
              <w:rPr>
                <w:color w:val="000000"/>
              </w:rPr>
            </w:pPr>
          </w:p>
          <w:p w14:paraId="7B922366" w14:textId="77777777" w:rsidR="00BB62F4" w:rsidRDefault="00000000">
            <w:pPr>
              <w:pBdr>
                <w:top w:val="nil"/>
                <w:left w:val="nil"/>
                <w:bottom w:val="nil"/>
                <w:right w:val="nil"/>
                <w:between w:val="nil"/>
              </w:pBdr>
              <w:shd w:val="clear" w:color="auto" w:fill="FFFFFF"/>
              <w:ind w:left="33"/>
              <w:rPr>
                <w:color w:val="000000"/>
              </w:rPr>
            </w:pPr>
            <w:r>
              <w:rPr>
                <w:color w:val="000000"/>
              </w:rPr>
              <w:t>AND / OR</w:t>
            </w:r>
          </w:p>
          <w:p w14:paraId="3064F671" w14:textId="77777777" w:rsidR="00BB62F4" w:rsidRDefault="00000000">
            <w:pPr>
              <w:rPr>
                <w:shd w:val="clear" w:color="auto" w:fill="D9E2F3"/>
              </w:rPr>
            </w:pPr>
            <w:r>
              <w:t xml:space="preserve">Other sources: </w:t>
            </w:r>
            <w:r>
              <w:rPr>
                <w:shd w:val="clear" w:color="auto" w:fill="D9E2F3"/>
              </w:rPr>
              <w:t>EITI Report (year and page number), EITI hosted website, etc</w:t>
            </w:r>
          </w:p>
          <w:p w14:paraId="2C4F2697" w14:textId="77777777" w:rsidR="00BB62F4" w:rsidRDefault="00000000">
            <w:pPr>
              <w:numPr>
                <w:ilvl w:val="0"/>
                <w:numId w:val="60"/>
              </w:numPr>
              <w:rPr>
                <w:rFonts w:ascii="EB Garamond" w:eastAsia="EB Garamond" w:hAnsi="EB Garamond" w:cs="EB Garamond"/>
                <w:color w:val="0000FF"/>
                <w:u w:val="single"/>
              </w:rPr>
            </w:pPr>
            <w:hyperlink r:id="rId184">
              <w:r>
                <w:rPr>
                  <w:rFonts w:ascii="EB Garamond" w:eastAsia="EB Garamond" w:hAnsi="EB Garamond" w:cs="EB Garamond"/>
                  <w:color w:val="1155CC"/>
                  <w:u w:val="single"/>
                  <w:shd w:val="clear" w:color="auto" w:fill="D9E2F3"/>
                </w:rPr>
                <w:t xml:space="preserve">NEITI BENEFICIAL OWNERSHIP PORTAL </w:t>
              </w:r>
            </w:hyperlink>
            <w:r>
              <w:fldChar w:fldCharType="begin"/>
            </w:r>
            <w:r>
              <w:instrText xml:space="preserve"> HYPERLINK "about:blank" </w:instrText>
            </w:r>
            <w:r>
              <w:fldChar w:fldCharType="separate"/>
            </w:r>
          </w:p>
          <w:p w14:paraId="73884B04" w14:textId="77777777" w:rsidR="00BB62F4" w:rsidRDefault="00000000">
            <w:pPr>
              <w:rPr>
                <w:color w:val="808080"/>
              </w:rPr>
            </w:pPr>
            <w:r>
              <w:fldChar w:fldCharType="end"/>
            </w:r>
          </w:p>
          <w:p w14:paraId="4EB2C254" w14:textId="77777777" w:rsidR="00BB62F4" w:rsidRDefault="00BB62F4"/>
        </w:tc>
      </w:tr>
      <w:tr w:rsidR="00BB62F4" w14:paraId="6A4B0154" w14:textId="77777777">
        <w:tc>
          <w:tcPr>
            <w:tcW w:w="1668" w:type="dxa"/>
            <w:tcBorders>
              <w:top w:val="single" w:sz="4" w:space="0" w:color="000000"/>
              <w:left w:val="nil"/>
              <w:bottom w:val="single" w:sz="4" w:space="0" w:color="000000"/>
              <w:right w:val="nil"/>
            </w:tcBorders>
          </w:tcPr>
          <w:p w14:paraId="39984D3C" w14:textId="77777777" w:rsidR="00BB62F4" w:rsidRDefault="00000000">
            <w:pPr>
              <w:rPr>
                <w:i/>
                <w:iCs/>
              </w:rPr>
            </w:pPr>
            <w:r>
              <w:rPr>
                <w:i/>
                <w:iCs/>
              </w:rPr>
              <w:lastRenderedPageBreak/>
              <w:t>Assessment of comprehensiveness, reliability and timeliness</w:t>
            </w:r>
            <w:r>
              <w:rPr>
                <w:b/>
                <w:bCs/>
              </w:rPr>
              <w:t xml:space="preserve"> </w:t>
            </w:r>
          </w:p>
        </w:tc>
        <w:tc>
          <w:tcPr>
            <w:tcW w:w="7512" w:type="dxa"/>
            <w:tcBorders>
              <w:top w:val="single" w:sz="4" w:space="0" w:color="000000"/>
              <w:left w:val="nil"/>
              <w:bottom w:val="single" w:sz="4" w:space="0" w:color="000000"/>
              <w:right w:val="nil"/>
            </w:tcBorders>
          </w:tcPr>
          <w:p w14:paraId="22D7C45A" w14:textId="77777777" w:rsidR="00BB62F4" w:rsidRDefault="00000000">
            <w:pPr>
              <w:rPr>
                <w:b/>
                <w:bCs/>
              </w:rPr>
            </w:pPr>
            <w:r>
              <w:rPr>
                <w:b/>
                <w:bCs/>
              </w:rPr>
              <w:t>Are there entities that failed to submit all or some beneficial ownership information?</w:t>
            </w:r>
          </w:p>
          <w:p w14:paraId="4A946419"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39D0DDC9" w14:textId="77777777" w:rsidR="00BB62F4" w:rsidRDefault="00BB62F4"/>
          <w:p w14:paraId="1CD94588" w14:textId="77777777" w:rsidR="00BB62F4" w:rsidRDefault="00000000">
            <w:pPr>
              <w:rPr>
                <w:b/>
                <w:bCs/>
              </w:rPr>
            </w:pPr>
            <w:r>
              <w:rPr>
                <w:b/>
                <w:bCs/>
              </w:rPr>
              <w:t>If yes, has the MSG disclosed the names of the entities that failed to disclose all or parts of the beneficial ownership information?</w:t>
            </w:r>
          </w:p>
          <w:p w14:paraId="564D4041"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6CA6F340" w14:textId="77777777" w:rsidR="00BB62F4" w:rsidRDefault="00000000">
            <w:pPr>
              <w:pBdr>
                <w:top w:val="nil"/>
                <w:left w:val="nil"/>
                <w:bottom w:val="nil"/>
                <w:right w:val="nil"/>
                <w:between w:val="nil"/>
              </w:pBdr>
              <w:shd w:val="clear" w:color="auto" w:fill="D9E2F3"/>
              <w:spacing w:before="0" w:after="0"/>
              <w:rPr>
                <w:rFonts w:ascii="Times New Roman" w:eastAsia="Times New Roman" w:hAnsi="Times New Roman" w:cs="Times New Roman"/>
                <w:color w:val="000000"/>
                <w:sz w:val="24"/>
                <w:szCs w:val="24"/>
              </w:rPr>
            </w:pPr>
            <w:r>
              <w:rPr>
                <w:color w:val="000000"/>
              </w:rPr>
              <w:t xml:space="preserve">Explain: </w:t>
            </w:r>
            <w:r>
              <w:rPr>
                <w:rFonts w:ascii="EB Garamond" w:eastAsia="EB Garamond" w:hAnsi="EB Garamond" w:cs="EB Garamond"/>
                <w:color w:val="000000"/>
              </w:rPr>
              <w:t> </w:t>
            </w:r>
            <w:proofErr w:type="gramStart"/>
            <w:r>
              <w:rPr>
                <w:rFonts w:ascii="EB Garamond" w:eastAsia="EB Garamond" w:hAnsi="EB Garamond" w:cs="EB Garamond"/>
                <w:color w:val="000000"/>
              </w:rPr>
              <w:t>NEITI  noted</w:t>
            </w:r>
            <w:proofErr w:type="gramEnd"/>
            <w:r>
              <w:rPr>
                <w:rFonts w:ascii="EB Garamond" w:eastAsia="EB Garamond" w:hAnsi="EB Garamond" w:cs="EB Garamond"/>
                <w:color w:val="000000"/>
              </w:rPr>
              <w:t xml:space="preserve"> that many companies submit incomplete, missing or inaccurate BO information to both the </w:t>
            </w:r>
            <w:hyperlink r:id="rId185">
              <w:r>
                <w:rPr>
                  <w:rFonts w:ascii="EB Garamond" w:eastAsia="EB Garamond" w:hAnsi="EB Garamond" w:cs="EB Garamond"/>
                  <w:color w:val="0000FF"/>
                  <w:u w:val="single"/>
                </w:rPr>
                <w:t>NEITI BO</w:t>
              </w:r>
            </w:hyperlink>
            <w:r>
              <w:rPr>
                <w:rFonts w:ascii="EB Garamond" w:eastAsia="EB Garamond" w:hAnsi="EB Garamond" w:cs="EB Garamond"/>
                <w:color w:val="FF0000"/>
              </w:rPr>
              <w:t xml:space="preserve"> </w:t>
            </w:r>
            <w:r>
              <w:rPr>
                <w:rFonts w:ascii="EB Garamond" w:eastAsia="EB Garamond" w:hAnsi="EB Garamond" w:cs="EB Garamond"/>
                <w:color w:val="000000"/>
              </w:rPr>
              <w:t>portal and the</w:t>
            </w:r>
            <w:r>
              <w:rPr>
                <w:rFonts w:ascii="EB Garamond" w:eastAsia="EB Garamond" w:hAnsi="EB Garamond" w:cs="EB Garamond"/>
                <w:color w:val="FF0000"/>
              </w:rPr>
              <w:t xml:space="preserve"> </w:t>
            </w:r>
            <w:hyperlink r:id="rId186">
              <w:r>
                <w:rPr>
                  <w:rFonts w:ascii="EB Garamond" w:eastAsia="EB Garamond" w:hAnsi="EB Garamond" w:cs="EB Garamond"/>
                  <w:color w:val="0000FF"/>
                  <w:u w:val="single"/>
                </w:rPr>
                <w:t>Corporate Affairs Commission (CAC) portal.</w:t>
              </w:r>
            </w:hyperlink>
          </w:p>
          <w:p w14:paraId="5BCEBED5" w14:textId="77777777" w:rsidR="00BB62F4" w:rsidRDefault="00BB62F4">
            <w:pPr>
              <w:pBdr>
                <w:top w:val="nil"/>
                <w:left w:val="nil"/>
                <w:bottom w:val="nil"/>
                <w:right w:val="nil"/>
                <w:between w:val="nil"/>
              </w:pBdr>
              <w:shd w:val="clear" w:color="auto" w:fill="D9E2F3"/>
              <w:spacing w:before="0" w:after="0"/>
              <w:rPr>
                <w:color w:val="000000"/>
              </w:rPr>
            </w:pPr>
          </w:p>
          <w:p w14:paraId="257BD077" w14:textId="77777777" w:rsidR="00BB62F4" w:rsidRDefault="00BB62F4">
            <w:pPr>
              <w:rPr>
                <w:b/>
                <w:bCs/>
              </w:rPr>
            </w:pPr>
          </w:p>
          <w:p w14:paraId="19F92BF7" w14:textId="77777777" w:rsidR="00BB62F4" w:rsidRDefault="00000000">
            <w:pPr>
              <w:rPr>
                <w:b/>
                <w:bCs/>
              </w:rPr>
            </w:pPr>
            <w:r>
              <w:rPr>
                <w:b/>
                <w:bCs/>
              </w:rPr>
              <w:t>Has the MSG assessed:</w:t>
            </w:r>
          </w:p>
          <w:p w14:paraId="07186831" w14:textId="77777777" w:rsidR="00BB62F4" w:rsidRDefault="00000000">
            <w:pPr>
              <w:numPr>
                <w:ilvl w:val="0"/>
                <w:numId w:val="6"/>
              </w:numPr>
              <w:pBdr>
                <w:top w:val="nil"/>
                <w:left w:val="nil"/>
                <w:bottom w:val="nil"/>
                <w:right w:val="nil"/>
                <w:between w:val="nil"/>
              </w:pBdr>
              <w:rPr>
                <w:color w:val="000000"/>
                <w:shd w:val="clear" w:color="auto" w:fill="D9E2F3"/>
              </w:rPr>
            </w:pPr>
            <w:r>
              <w:rPr>
                <w:color w:val="000000"/>
              </w:rPr>
              <w:t xml:space="preserve">the </w:t>
            </w:r>
            <w:r>
              <w:rPr>
                <w:b/>
                <w:bCs/>
                <w:color w:val="000000"/>
              </w:rPr>
              <w:t>materiality</w:t>
            </w:r>
            <w:r>
              <w:rPr>
                <w:color w:val="000000"/>
              </w:rPr>
              <w:t xml:space="preserve"> of the omissions: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shd w:val="clear" w:color="auto" w:fill="D9E2F3"/>
              </w:rPr>
              <w:t>No</w:t>
            </w:r>
          </w:p>
          <w:p w14:paraId="4E61E1E3" w14:textId="77777777" w:rsidR="00BB62F4" w:rsidRDefault="00000000">
            <w:pPr>
              <w:numPr>
                <w:ilvl w:val="0"/>
                <w:numId w:val="6"/>
              </w:numPr>
              <w:pBdr>
                <w:top w:val="nil"/>
                <w:left w:val="nil"/>
                <w:bottom w:val="nil"/>
                <w:right w:val="nil"/>
                <w:between w:val="nil"/>
              </w:pBdr>
              <w:rPr>
                <w:color w:val="000000"/>
              </w:rPr>
            </w:pPr>
            <w:r>
              <w:rPr>
                <w:color w:val="000000"/>
              </w:rPr>
              <w:t xml:space="preserve">the overall </w:t>
            </w:r>
            <w:r>
              <w:rPr>
                <w:b/>
                <w:bCs/>
                <w:color w:val="000000"/>
              </w:rPr>
              <w:t>reliability</w:t>
            </w:r>
            <w:r>
              <w:rPr>
                <w:color w:val="000000"/>
              </w:rPr>
              <w:t xml:space="preserve"> of beneficial ownership information </w:t>
            </w: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shd w:val="clear" w:color="auto" w:fill="D9E2F3"/>
              </w:rPr>
              <w:t>No</w:t>
            </w:r>
          </w:p>
          <w:p w14:paraId="1C23A340" w14:textId="77777777" w:rsidR="00BB62F4" w:rsidRDefault="00BB62F4">
            <w:pPr>
              <w:pBdr>
                <w:top w:val="nil"/>
                <w:left w:val="nil"/>
                <w:bottom w:val="nil"/>
                <w:right w:val="nil"/>
                <w:between w:val="nil"/>
              </w:pBdr>
              <w:ind w:left="720"/>
              <w:rPr>
                <w:color w:val="000000"/>
              </w:rPr>
            </w:pPr>
          </w:p>
          <w:p w14:paraId="1E3A834D" w14:textId="77777777" w:rsidR="00BB62F4" w:rsidRDefault="00000000">
            <w:pPr>
              <w:rPr>
                <w:b/>
                <w:bCs/>
              </w:rPr>
            </w:pPr>
            <w:r>
              <w:rPr>
                <w:b/>
                <w:bCs/>
              </w:rPr>
              <w:t xml:space="preserve">Do you or any stakeholders (including, but not limited to MSG members) consider that the beneficial ownership information is </w:t>
            </w:r>
            <w:r>
              <w:rPr>
                <w:b/>
                <w:bCs/>
                <w:u w:val="single"/>
              </w:rPr>
              <w:t>outdated</w:t>
            </w:r>
            <w:r>
              <w:rPr>
                <w:b/>
                <w:bCs/>
              </w:rPr>
              <w:t>?</w:t>
            </w:r>
            <w:r>
              <w:rPr>
                <w:vertAlign w:val="superscript"/>
              </w:rPr>
              <w:t xml:space="preserve"> </w:t>
            </w:r>
            <w:r>
              <w:rPr>
                <w:vertAlign w:val="superscript"/>
              </w:rPr>
              <w:footnoteReference w:id="11"/>
            </w:r>
          </w:p>
          <w:p w14:paraId="45CBEB87" w14:textId="77777777" w:rsidR="00BB62F4" w:rsidRDefault="00000000">
            <w:r>
              <w:rPr>
                <w:rFonts w:ascii="MS Gothic" w:eastAsia="MS Gothic" w:hAnsi="MS Gothic" w:cs="MS Gothic"/>
                <w:highlight w:val="white"/>
              </w:rPr>
              <w:lastRenderedPageBreak/>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r>
              <w:t xml:space="preserve"> </w:t>
            </w:r>
          </w:p>
          <w:p w14:paraId="3B17699E" w14:textId="77777777" w:rsidR="00BB62F4" w:rsidRDefault="00BB62F4"/>
          <w:p w14:paraId="0C3BA87F" w14:textId="77777777" w:rsidR="00BB62F4" w:rsidRDefault="00000000">
            <w:pPr>
              <w:rPr>
                <w:b/>
                <w:bCs/>
              </w:rPr>
            </w:pPr>
            <w:r>
              <w:t xml:space="preserve">If </w:t>
            </w:r>
            <w:r>
              <w:rPr>
                <w:u w:val="single"/>
              </w:rPr>
              <w:t>yes</w:t>
            </w:r>
            <w:r>
              <w:t>, what is the reason for not considering the information being up to date, and hence possibly not accurate?</w:t>
            </w:r>
            <w:r>
              <w:rPr>
                <w:b/>
                <w:bCs/>
              </w:rPr>
              <w:t xml:space="preserve"> </w:t>
            </w:r>
          </w:p>
          <w:p w14:paraId="67BBB84C" w14:textId="77777777" w:rsidR="00BB62F4" w:rsidRDefault="00000000">
            <w:pPr>
              <w:shd w:val="clear" w:color="auto" w:fill="D9E2F3"/>
              <w:rPr>
                <w:i/>
                <w:iCs/>
              </w:rPr>
            </w:pPr>
            <w:r>
              <w:rPr>
                <w:shd w:val="clear" w:color="auto" w:fill="D9E2F3"/>
              </w:rPr>
              <w:t>Elaborate:</w:t>
            </w:r>
          </w:p>
          <w:p w14:paraId="279A233D" w14:textId="77777777" w:rsidR="00BB62F4" w:rsidRDefault="00BB62F4">
            <w:pPr>
              <w:rPr>
                <w:b/>
                <w:bCs/>
              </w:rPr>
            </w:pPr>
          </w:p>
          <w:p w14:paraId="5F4696A7" w14:textId="77777777" w:rsidR="00BB62F4" w:rsidRDefault="00000000">
            <w:pPr>
              <w:rPr>
                <w:b/>
                <w:bCs/>
              </w:rPr>
            </w:pPr>
            <w:r>
              <w:rPr>
                <w:b/>
                <w:bCs/>
              </w:rPr>
              <w:t>Has the MSG published an assessment on the comprehensiveness, reliability and timeliness of beneficial ownership disclosures where gaps and weaknesses are clearly identified, for example through EITI reporting?</w:t>
            </w:r>
          </w:p>
          <w:p w14:paraId="320E670D"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 xml:space="preserve">No </w:t>
            </w:r>
          </w:p>
          <w:p w14:paraId="6D942427" w14:textId="77777777" w:rsidR="00BB62F4" w:rsidRDefault="00000000">
            <w:pPr>
              <w:shd w:val="clear" w:color="auto" w:fill="D9E2F3"/>
            </w:pPr>
            <w:r>
              <w:t>Explain:</w:t>
            </w:r>
          </w:p>
          <w:p w14:paraId="673BE27A" w14:textId="77777777" w:rsidR="00BB62F4" w:rsidRDefault="00BB62F4">
            <w:pPr>
              <w:pBdr>
                <w:top w:val="nil"/>
                <w:left w:val="nil"/>
                <w:bottom w:val="nil"/>
                <w:right w:val="nil"/>
                <w:between w:val="nil"/>
              </w:pBdr>
              <w:shd w:val="clear" w:color="auto" w:fill="FFFFFF"/>
              <w:ind w:left="33"/>
              <w:rPr>
                <w:b/>
                <w:bCs/>
                <w:i/>
                <w:iCs/>
                <w:color w:val="000000"/>
              </w:rPr>
            </w:pPr>
          </w:p>
          <w:p w14:paraId="7F6C5B53" w14:textId="77777777" w:rsidR="00BB62F4" w:rsidRDefault="00000000">
            <w:pPr>
              <w:pBdr>
                <w:top w:val="nil"/>
                <w:left w:val="nil"/>
                <w:bottom w:val="nil"/>
                <w:right w:val="nil"/>
                <w:between w:val="nil"/>
              </w:pBdr>
              <w:shd w:val="clear" w:color="auto" w:fill="FFFFFF"/>
              <w:ind w:left="33"/>
              <w:rPr>
                <w:b/>
                <w:bCs/>
                <w:i/>
                <w:iCs/>
                <w:color w:val="000000"/>
              </w:rPr>
            </w:pPr>
            <w:r>
              <w:rPr>
                <w:b/>
                <w:bCs/>
                <w:i/>
                <w:iCs/>
                <w:color w:val="000000"/>
              </w:rPr>
              <w:t>Where to find the assessment and identification of gaps and weaknesses for the period under review</w:t>
            </w:r>
          </w:p>
          <w:p w14:paraId="7AF88CC3" w14:textId="77777777" w:rsidR="00BB62F4" w:rsidRDefault="00000000">
            <w:pPr>
              <w:pBdr>
                <w:top w:val="nil"/>
                <w:left w:val="nil"/>
                <w:bottom w:val="nil"/>
                <w:right w:val="nil"/>
                <w:between w:val="nil"/>
              </w:pBdr>
              <w:shd w:val="clear" w:color="auto" w:fill="FFFFFF"/>
              <w:ind w:left="33"/>
              <w:rPr>
                <w:color w:val="000000"/>
              </w:rPr>
            </w:pPr>
            <w:r>
              <w:rPr>
                <w:color w:val="000000"/>
              </w:rPr>
              <w:t xml:space="preserve">Systematic disclosures: </w:t>
            </w:r>
            <w:r>
              <w:rPr>
                <w:color w:val="000000"/>
                <w:shd w:val="clear" w:color="auto" w:fill="D9E2F3"/>
              </w:rPr>
              <w:t xml:space="preserve">website www. or routine publication, typically by the </w:t>
            </w:r>
            <w:hyperlink w:anchor="_heading=h.ceyfom1ili73">
              <w:r>
                <w:rPr>
                  <w:color w:val="0000FF"/>
                  <w:u w:val="single"/>
                  <w:shd w:val="clear" w:color="auto" w:fill="D9E2F3"/>
                </w:rPr>
                <w:t>holders of information</w:t>
              </w:r>
            </w:hyperlink>
            <w:r>
              <w:rPr>
                <w:color w:val="000000"/>
                <w:shd w:val="clear" w:color="auto" w:fill="D9E2F3"/>
              </w:rPr>
              <w:t xml:space="preserve"> –</w:t>
            </w:r>
          </w:p>
          <w:p w14:paraId="2C3D20BC" w14:textId="77777777" w:rsidR="00BB62F4" w:rsidRDefault="00000000">
            <w:pPr>
              <w:pBdr>
                <w:top w:val="nil"/>
                <w:left w:val="nil"/>
                <w:bottom w:val="nil"/>
                <w:right w:val="nil"/>
                <w:between w:val="nil"/>
              </w:pBdr>
              <w:shd w:val="clear" w:color="auto" w:fill="FFFFFF"/>
              <w:ind w:left="33"/>
              <w:rPr>
                <w:color w:val="000000"/>
              </w:rPr>
            </w:pPr>
            <w:r>
              <w:rPr>
                <w:color w:val="000000"/>
              </w:rPr>
              <w:t>AND / OR</w:t>
            </w:r>
          </w:p>
          <w:p w14:paraId="401D8491" w14:textId="77777777" w:rsidR="00BB62F4" w:rsidRDefault="00000000">
            <w:pPr>
              <w:rPr>
                <w:color w:val="FF0000"/>
                <w:shd w:val="clear" w:color="auto" w:fill="D9E2F3"/>
              </w:rPr>
            </w:pPr>
            <w:r>
              <w:t xml:space="preserve">Other sources: </w:t>
            </w:r>
            <w:r>
              <w:rPr>
                <w:shd w:val="clear" w:color="auto" w:fill="D9E2F3"/>
              </w:rPr>
              <w:t>EITI Report (year and page number), MSG meeting minutes (www</w:t>
            </w:r>
            <w:proofErr w:type="gramStart"/>
            <w:r>
              <w:rPr>
                <w:shd w:val="clear" w:color="auto" w:fill="D9E2F3"/>
              </w:rPr>
              <w:t>. )</w:t>
            </w:r>
            <w:proofErr w:type="gramEnd"/>
            <w:r>
              <w:rPr>
                <w:shd w:val="clear" w:color="auto" w:fill="D9E2F3"/>
              </w:rPr>
              <w:t>, beneficial ownership report…</w:t>
            </w:r>
          </w:p>
          <w:p w14:paraId="47739853" w14:textId="09A5728B" w:rsidR="00BB62F4" w:rsidRPr="0094427B" w:rsidRDefault="0094427B">
            <w:hyperlink r:id="rId187" w:history="1">
              <w:r w:rsidRPr="00C15E82">
                <w:rPr>
                  <w:rStyle w:val="Hyperlink"/>
                </w:rPr>
                <w:t>https://neiti.gov.ng/VALIDATION/2026/TRANSPARENCY/NSWG%20Review%20-%20BO.docx</w:t>
              </w:r>
            </w:hyperlink>
            <w:r>
              <w:t xml:space="preserve"> </w:t>
            </w:r>
          </w:p>
          <w:p w14:paraId="38A78657" w14:textId="77777777" w:rsidR="00BB62F4" w:rsidRDefault="00BB62F4">
            <w:pPr>
              <w:rPr>
                <w:b/>
                <w:bCs/>
              </w:rPr>
            </w:pPr>
          </w:p>
          <w:p w14:paraId="0DD97773" w14:textId="77777777" w:rsidR="00BB62F4" w:rsidRDefault="00000000">
            <w:pPr>
              <w:rPr>
                <w:shd w:val="clear" w:color="auto" w:fill="D9E2F3"/>
              </w:rPr>
            </w:pPr>
            <w:r>
              <w:rPr>
                <w:b/>
                <w:bCs/>
              </w:rPr>
              <w:t>Has the government or MSG agreed and documented plans to overcome the identified challenges and barriers</w:t>
            </w:r>
            <w:r>
              <w:t xml:space="preserve">? </w:t>
            </w: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6AC820F6" w14:textId="77777777" w:rsidR="00BB62F4" w:rsidRDefault="00000000">
            <w:pPr>
              <w:pBdr>
                <w:top w:val="nil"/>
                <w:left w:val="nil"/>
                <w:bottom w:val="nil"/>
                <w:right w:val="nil"/>
                <w:between w:val="nil"/>
              </w:pBdr>
              <w:shd w:val="clear" w:color="auto" w:fill="FFFFFF"/>
              <w:ind w:left="33"/>
              <w:rPr>
                <w:b/>
                <w:bCs/>
                <w:i/>
                <w:iCs/>
                <w:color w:val="000000"/>
              </w:rPr>
            </w:pPr>
            <w:r>
              <w:rPr>
                <w:b/>
                <w:bCs/>
                <w:i/>
                <w:iCs/>
                <w:color w:val="000000"/>
              </w:rPr>
              <w:t>Where to find the plan how to overcome gaps and weaknesses</w:t>
            </w:r>
          </w:p>
          <w:p w14:paraId="1AA56153" w14:textId="77777777" w:rsidR="00BB62F4" w:rsidRDefault="00000000">
            <w:pPr>
              <w:pBdr>
                <w:top w:val="nil"/>
                <w:left w:val="nil"/>
                <w:bottom w:val="nil"/>
                <w:right w:val="nil"/>
                <w:between w:val="nil"/>
              </w:pBdr>
              <w:shd w:val="clear" w:color="auto" w:fill="FFFFFF"/>
              <w:ind w:left="33"/>
              <w:rPr>
                <w:color w:val="000000"/>
              </w:rPr>
            </w:pPr>
            <w:r>
              <w:rPr>
                <w:color w:val="000000"/>
              </w:rPr>
              <w:t xml:space="preserve">Systematic disclosures: </w:t>
            </w:r>
            <w:r>
              <w:rPr>
                <w:color w:val="000000"/>
                <w:shd w:val="clear" w:color="auto" w:fill="D9E2F3"/>
              </w:rPr>
              <w:t xml:space="preserve">website www. or routine publication, typically by the </w:t>
            </w:r>
            <w:hyperlink w:anchor="_heading=h.ceyfom1ili73">
              <w:r>
                <w:rPr>
                  <w:color w:val="0000FF"/>
                  <w:u w:val="single"/>
                  <w:shd w:val="clear" w:color="auto" w:fill="D9E2F3"/>
                </w:rPr>
                <w:t>holders of information</w:t>
              </w:r>
            </w:hyperlink>
            <w:r>
              <w:rPr>
                <w:color w:val="000000"/>
                <w:shd w:val="clear" w:color="auto" w:fill="D9E2F3"/>
              </w:rPr>
              <w:t xml:space="preserve"> –</w:t>
            </w:r>
          </w:p>
          <w:p w14:paraId="55936C9E" w14:textId="77777777" w:rsidR="00BB62F4" w:rsidRDefault="00000000">
            <w:pPr>
              <w:pBdr>
                <w:top w:val="nil"/>
                <w:left w:val="nil"/>
                <w:bottom w:val="nil"/>
                <w:right w:val="nil"/>
                <w:between w:val="nil"/>
              </w:pBdr>
              <w:shd w:val="clear" w:color="auto" w:fill="FFFFFF"/>
              <w:ind w:left="33"/>
              <w:rPr>
                <w:color w:val="000000"/>
              </w:rPr>
            </w:pPr>
            <w:r>
              <w:rPr>
                <w:color w:val="000000"/>
              </w:rPr>
              <w:t>AND / OR</w:t>
            </w:r>
          </w:p>
          <w:p w14:paraId="13BABD79" w14:textId="77777777" w:rsidR="00BB62F4" w:rsidRDefault="00000000">
            <w:pPr>
              <w:rPr>
                <w:color w:val="808080"/>
              </w:rPr>
            </w:pPr>
            <w:r>
              <w:t xml:space="preserve">Other sources: </w:t>
            </w:r>
            <w:r>
              <w:rPr>
                <w:shd w:val="clear" w:color="auto" w:fill="D9E2F3"/>
              </w:rPr>
              <w:t>EITI Report (year and page number), MSG meeting minutes (www</w:t>
            </w:r>
            <w:proofErr w:type="gramStart"/>
            <w:r>
              <w:rPr>
                <w:shd w:val="clear" w:color="auto" w:fill="D9E2F3"/>
              </w:rPr>
              <w:t>. )</w:t>
            </w:r>
            <w:proofErr w:type="gramEnd"/>
            <w:r>
              <w:rPr>
                <w:shd w:val="clear" w:color="auto" w:fill="D9E2F3"/>
              </w:rPr>
              <w:t>, beneficial ownership report…</w:t>
            </w:r>
          </w:p>
          <w:p w14:paraId="7E0376C9" w14:textId="77777777" w:rsidR="00BB62F4" w:rsidRDefault="00BB62F4">
            <w:pPr>
              <w:rPr>
                <w:b/>
                <w:bCs/>
              </w:rPr>
            </w:pPr>
          </w:p>
          <w:p w14:paraId="65F1072F" w14:textId="77777777" w:rsidR="00BB62F4" w:rsidRDefault="00000000">
            <w:pPr>
              <w:rPr>
                <w:b/>
                <w:bCs/>
              </w:rPr>
            </w:pPr>
            <w:r>
              <w:rPr>
                <w:b/>
                <w:bCs/>
              </w:rPr>
              <w:t>Are the gaps due to legal or practical barriers?</w:t>
            </w:r>
          </w:p>
          <w:p w14:paraId="6AAD942D"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201A7717" w14:textId="77777777" w:rsidR="00BB62F4" w:rsidRDefault="00000000">
            <w:r>
              <w:t xml:space="preserve">If </w:t>
            </w:r>
            <w:r>
              <w:rPr>
                <w:u w:val="single"/>
              </w:rPr>
              <w:t>yes</w:t>
            </w:r>
            <w:r>
              <w:t>, note plans to overcome barriers to disclosure of all of the above information:</w:t>
            </w:r>
          </w:p>
          <w:p w14:paraId="325760AF" w14:textId="77777777" w:rsidR="00BB62F4" w:rsidRDefault="00000000">
            <w:pPr>
              <w:rPr>
                <w:color w:val="808080"/>
              </w:rPr>
            </w:pPr>
            <w:r>
              <w:rPr>
                <w:shd w:val="clear" w:color="auto" w:fill="D9E2F3"/>
              </w:rPr>
              <w:t>Explain: can include a reference to work plan activities, MSG meeting minutes etc.</w:t>
            </w:r>
          </w:p>
          <w:p w14:paraId="5D24DD4F" w14:textId="77777777" w:rsidR="00BB62F4" w:rsidRDefault="00BB62F4">
            <w:pPr>
              <w:rPr>
                <w:b/>
                <w:bCs/>
              </w:rPr>
            </w:pPr>
          </w:p>
        </w:tc>
      </w:tr>
      <w:tr w:rsidR="00BB62F4" w14:paraId="78568061" w14:textId="77777777">
        <w:tc>
          <w:tcPr>
            <w:tcW w:w="1668" w:type="dxa"/>
            <w:tcBorders>
              <w:top w:val="single" w:sz="4" w:space="0" w:color="000000"/>
              <w:left w:val="nil"/>
              <w:bottom w:val="single" w:sz="4" w:space="0" w:color="000000"/>
              <w:right w:val="nil"/>
            </w:tcBorders>
            <w:shd w:val="clear" w:color="auto" w:fill="B4C6E7"/>
          </w:tcPr>
          <w:p w14:paraId="5A7EE75A" w14:textId="77777777" w:rsidR="00BB62F4" w:rsidRDefault="00000000">
            <w:pPr>
              <w:rPr>
                <w:i/>
                <w:iCs/>
              </w:rPr>
            </w:pPr>
            <w:r>
              <w:rPr>
                <w:b/>
                <w:bCs/>
              </w:rPr>
              <w:lastRenderedPageBreak/>
              <w:t>Required</w:t>
            </w:r>
          </w:p>
        </w:tc>
        <w:tc>
          <w:tcPr>
            <w:tcW w:w="7512" w:type="dxa"/>
            <w:tcBorders>
              <w:top w:val="single" w:sz="4" w:space="0" w:color="000000"/>
              <w:left w:val="nil"/>
              <w:bottom w:val="single" w:sz="4" w:space="0" w:color="000000"/>
              <w:right w:val="nil"/>
            </w:tcBorders>
            <w:shd w:val="clear" w:color="auto" w:fill="B4C6E7"/>
          </w:tcPr>
          <w:p w14:paraId="517E60DB" w14:textId="77777777" w:rsidR="00BB62F4" w:rsidRDefault="00000000">
            <w:pPr>
              <w:rPr>
                <w:b/>
                <w:bCs/>
              </w:rPr>
            </w:pPr>
            <w:r>
              <w:rPr>
                <w:b/>
                <w:bCs/>
              </w:rPr>
              <w:t>#2.</w:t>
            </w:r>
            <w:proofErr w:type="gramStart"/>
            <w:r>
              <w:rPr>
                <w:b/>
                <w:bCs/>
              </w:rPr>
              <w:t>5.e</w:t>
            </w:r>
            <w:proofErr w:type="gramEnd"/>
            <w:r>
              <w:rPr>
                <w:b/>
                <w:bCs/>
              </w:rPr>
              <w:t xml:space="preserve"> – Assessment of the </w:t>
            </w:r>
            <w:r>
              <w:rPr>
                <w:b/>
                <w:bCs/>
                <w:u w:val="single"/>
              </w:rPr>
              <w:t>mechanism</w:t>
            </w:r>
            <w:r>
              <w:rPr>
                <w:b/>
                <w:bCs/>
              </w:rPr>
              <w:t xml:space="preserve"> to ensure reliability of beneficial ownership information</w:t>
            </w:r>
          </w:p>
        </w:tc>
      </w:tr>
      <w:tr w:rsidR="00BB62F4" w14:paraId="3636400E" w14:textId="77777777">
        <w:tc>
          <w:tcPr>
            <w:tcW w:w="1668" w:type="dxa"/>
            <w:tcBorders>
              <w:top w:val="single" w:sz="4" w:space="0" w:color="000000"/>
              <w:left w:val="nil"/>
              <w:bottom w:val="single" w:sz="4" w:space="0" w:color="000000"/>
              <w:right w:val="nil"/>
            </w:tcBorders>
          </w:tcPr>
          <w:p w14:paraId="29880CBD" w14:textId="77777777" w:rsidR="00BB62F4" w:rsidRDefault="00000000">
            <w:pPr>
              <w:rPr>
                <w:i/>
                <w:iCs/>
              </w:rPr>
            </w:pPr>
            <w:r>
              <w:rPr>
                <w:i/>
                <w:iCs/>
              </w:rPr>
              <w:lastRenderedPageBreak/>
              <w:t xml:space="preserve">Assessment of </w:t>
            </w:r>
            <w:r>
              <w:rPr>
                <w:i/>
                <w:iCs/>
                <w:u w:val="single"/>
              </w:rPr>
              <w:t>mechanism</w:t>
            </w:r>
            <w:r>
              <w:rPr>
                <w:i/>
                <w:iCs/>
              </w:rPr>
              <w:t xml:space="preserve"> for assuring reliability</w:t>
            </w:r>
          </w:p>
        </w:tc>
        <w:tc>
          <w:tcPr>
            <w:tcW w:w="7512" w:type="dxa"/>
            <w:tcBorders>
              <w:top w:val="single" w:sz="4" w:space="0" w:color="000000"/>
              <w:left w:val="nil"/>
              <w:bottom w:val="single" w:sz="4" w:space="0" w:color="000000"/>
              <w:right w:val="nil"/>
            </w:tcBorders>
          </w:tcPr>
          <w:p w14:paraId="635D801B" w14:textId="77777777" w:rsidR="00BB62F4" w:rsidRDefault="00000000">
            <w:pPr>
              <w:rPr>
                <w:b/>
                <w:bCs/>
              </w:rPr>
            </w:pPr>
            <w:r>
              <w:rPr>
                <w:b/>
                <w:bCs/>
              </w:rPr>
              <w:t>Has the MSG assessed any mechanisms in place for assuring the reliability of beneficial ownership information?</w:t>
            </w:r>
          </w:p>
          <w:p w14:paraId="150876A9"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00BCE5A0" w14:textId="77777777" w:rsidR="00BB62F4" w:rsidRDefault="00BB62F4">
            <w:pPr>
              <w:rPr>
                <w:b/>
                <w:bCs/>
              </w:rPr>
            </w:pPr>
          </w:p>
          <w:p w14:paraId="69C1CF63" w14:textId="77777777" w:rsidR="00BB62F4" w:rsidRDefault="00000000">
            <w:pPr>
              <w:rPr>
                <w:b/>
                <w:bCs/>
              </w:rPr>
            </w:pPr>
            <w:r>
              <w:rPr>
                <w:b/>
                <w:bCs/>
              </w:rPr>
              <w:t>Has the MSG agreed an approach for corporate entities to assure the accuracy of beneficial ownership information?</w:t>
            </w:r>
          </w:p>
          <w:p w14:paraId="4B3E05DF"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25741973" w14:textId="77777777" w:rsidR="00BB62F4" w:rsidRDefault="00BB62F4">
            <w:pPr>
              <w:rPr>
                <w:b/>
                <w:bCs/>
              </w:rPr>
            </w:pPr>
          </w:p>
          <w:p w14:paraId="720117A8" w14:textId="77777777" w:rsidR="00BB62F4" w:rsidRDefault="00000000">
            <w:pPr>
              <w:rPr>
                <w:b/>
                <w:bCs/>
              </w:rPr>
            </w:pPr>
            <w:r>
              <w:rPr>
                <w:b/>
                <w:bCs/>
              </w:rPr>
              <w:t>Has the MSG required companies to attest the beneficial ownership declaration form through sign-off by a member of the senior management team or legal counsel?</w:t>
            </w:r>
          </w:p>
          <w:p w14:paraId="2EF581CB"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1B8102AB" w14:textId="77777777" w:rsidR="00BB62F4" w:rsidRDefault="00BB62F4">
            <w:pPr>
              <w:rPr>
                <w:b/>
                <w:bCs/>
              </w:rPr>
            </w:pPr>
          </w:p>
          <w:p w14:paraId="3F501D42" w14:textId="77777777" w:rsidR="00BB62F4" w:rsidRDefault="00000000">
            <w:pPr>
              <w:rPr>
                <w:b/>
                <w:bCs/>
              </w:rPr>
            </w:pPr>
            <w:r>
              <w:rPr>
                <w:b/>
                <w:bCs/>
              </w:rPr>
              <w:t>Has the MSG required companies to submit supporting documentation?</w:t>
            </w:r>
          </w:p>
          <w:p w14:paraId="7F7F3D39"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4F5CA227" w14:textId="77777777" w:rsidR="00BB62F4" w:rsidRDefault="00BB62F4">
            <w:pPr>
              <w:rPr>
                <w:b/>
                <w:bCs/>
              </w:rPr>
            </w:pPr>
          </w:p>
          <w:p w14:paraId="2FC5821E" w14:textId="77777777" w:rsidR="00BB62F4" w:rsidRDefault="00000000">
            <w:pPr>
              <w:pBdr>
                <w:top w:val="nil"/>
                <w:left w:val="nil"/>
                <w:bottom w:val="nil"/>
                <w:right w:val="nil"/>
                <w:between w:val="nil"/>
              </w:pBdr>
              <w:shd w:val="clear" w:color="auto" w:fill="FFFFFF"/>
              <w:ind w:left="33"/>
              <w:rPr>
                <w:b/>
                <w:bCs/>
                <w:i/>
                <w:iCs/>
                <w:color w:val="000000"/>
              </w:rPr>
            </w:pPr>
            <w:r>
              <w:rPr>
                <w:b/>
                <w:bCs/>
                <w:i/>
                <w:iCs/>
                <w:color w:val="000000"/>
              </w:rPr>
              <w:t>Where to find the assessment of the mechanism:</w:t>
            </w:r>
          </w:p>
          <w:p w14:paraId="471D8B78" w14:textId="77777777" w:rsidR="00BB62F4" w:rsidRDefault="00000000">
            <w:pPr>
              <w:pBdr>
                <w:top w:val="nil"/>
                <w:left w:val="nil"/>
                <w:bottom w:val="nil"/>
                <w:right w:val="nil"/>
                <w:between w:val="nil"/>
              </w:pBdr>
              <w:shd w:val="clear" w:color="auto" w:fill="FFFFFF"/>
              <w:ind w:left="33"/>
              <w:rPr>
                <w:color w:val="000000"/>
              </w:rPr>
            </w:pPr>
            <w:r>
              <w:rPr>
                <w:color w:val="000000"/>
              </w:rPr>
              <w:t xml:space="preserve">Systematic disclosures: </w:t>
            </w:r>
            <w:r>
              <w:rPr>
                <w:color w:val="000000"/>
                <w:shd w:val="clear" w:color="auto" w:fill="D9E2F3"/>
              </w:rPr>
              <w:t xml:space="preserve">website www. or routine publication, typically by the </w:t>
            </w:r>
            <w:hyperlink w:anchor="_heading=h.ceyfom1ili73">
              <w:r>
                <w:rPr>
                  <w:color w:val="0000FF"/>
                  <w:u w:val="single"/>
                  <w:shd w:val="clear" w:color="auto" w:fill="D9E2F3"/>
                </w:rPr>
                <w:t>holders of information</w:t>
              </w:r>
            </w:hyperlink>
          </w:p>
          <w:p w14:paraId="537C5AE0" w14:textId="77777777" w:rsidR="00BB62F4" w:rsidRDefault="00000000">
            <w:pPr>
              <w:pBdr>
                <w:top w:val="nil"/>
                <w:left w:val="nil"/>
                <w:bottom w:val="nil"/>
                <w:right w:val="nil"/>
                <w:between w:val="nil"/>
              </w:pBdr>
              <w:shd w:val="clear" w:color="auto" w:fill="FFFFFF"/>
              <w:ind w:left="33"/>
              <w:rPr>
                <w:color w:val="000000"/>
              </w:rPr>
            </w:pPr>
            <w:r>
              <w:rPr>
                <w:color w:val="000000"/>
              </w:rPr>
              <w:t>AND / OR</w:t>
            </w:r>
          </w:p>
          <w:p w14:paraId="62415D9F" w14:textId="4A58A7EB" w:rsidR="00BB62F4" w:rsidRPr="0094427B" w:rsidRDefault="00000000">
            <w:pPr>
              <w:rPr>
                <w:shd w:val="clear" w:color="auto" w:fill="D9E2F3"/>
              </w:rPr>
            </w:pPr>
            <w:r>
              <w:t xml:space="preserve">Other sources: </w:t>
            </w:r>
            <w:r>
              <w:rPr>
                <w:shd w:val="clear" w:color="auto" w:fill="D9E2F3"/>
              </w:rPr>
              <w:t>EITI Report (year and page number), EITI hosted website, etc</w:t>
            </w:r>
          </w:p>
          <w:p w14:paraId="099481C6" w14:textId="355E1A61" w:rsidR="0094427B" w:rsidRDefault="0094427B">
            <w:hyperlink r:id="rId188" w:history="1">
              <w:r w:rsidRPr="00C15E82">
                <w:rPr>
                  <w:rStyle w:val="Hyperlink"/>
                </w:rPr>
                <w:t>https://neiti.gov.ng/VALIDATION/2026/TRANSPARENCY/NSWG%20Review%20-%20BO.docx</w:t>
              </w:r>
            </w:hyperlink>
            <w:r>
              <w:t xml:space="preserve"> </w:t>
            </w:r>
          </w:p>
          <w:p w14:paraId="7FF69107" w14:textId="3B95262A" w:rsidR="0094427B" w:rsidRDefault="0094427B">
            <w:pPr>
              <w:rPr>
                <w:color w:val="FF0000"/>
              </w:rPr>
            </w:pPr>
          </w:p>
          <w:p w14:paraId="00B18B36" w14:textId="77777777" w:rsidR="00BB62F4" w:rsidRDefault="00BB62F4">
            <w:pPr>
              <w:shd w:val="clear" w:color="auto" w:fill="D9E2F3"/>
              <w:rPr>
                <w:b/>
                <w:bCs/>
              </w:rPr>
            </w:pPr>
          </w:p>
        </w:tc>
      </w:tr>
      <w:tr w:rsidR="00BB62F4" w14:paraId="48AD3F1C" w14:textId="77777777">
        <w:tc>
          <w:tcPr>
            <w:tcW w:w="1668" w:type="dxa"/>
            <w:tcBorders>
              <w:top w:val="single" w:sz="4" w:space="0" w:color="000000"/>
              <w:left w:val="nil"/>
              <w:bottom w:val="single" w:sz="4" w:space="0" w:color="000000"/>
              <w:right w:val="nil"/>
            </w:tcBorders>
            <w:shd w:val="clear" w:color="auto" w:fill="B4C6E7"/>
          </w:tcPr>
          <w:p w14:paraId="5A441DB8" w14:textId="77777777" w:rsidR="00BB62F4" w:rsidRDefault="00000000">
            <w:pPr>
              <w:rPr>
                <w:i/>
                <w:iCs/>
              </w:rPr>
            </w:pPr>
            <w:r>
              <w:rPr>
                <w:b/>
                <w:bCs/>
              </w:rPr>
              <w:t>Required</w:t>
            </w:r>
          </w:p>
        </w:tc>
        <w:tc>
          <w:tcPr>
            <w:tcW w:w="7512" w:type="dxa"/>
            <w:tcBorders>
              <w:top w:val="single" w:sz="4" w:space="0" w:color="000000"/>
              <w:left w:val="nil"/>
              <w:bottom w:val="single" w:sz="4" w:space="0" w:color="000000"/>
              <w:right w:val="nil"/>
            </w:tcBorders>
            <w:shd w:val="clear" w:color="auto" w:fill="B4C6E7"/>
          </w:tcPr>
          <w:p w14:paraId="02350FD6" w14:textId="77777777" w:rsidR="00BB62F4" w:rsidRDefault="00000000">
            <w:pPr>
              <w:rPr>
                <w:b/>
                <w:bCs/>
              </w:rPr>
            </w:pPr>
            <w:r>
              <w:rPr>
                <w:b/>
                <w:bCs/>
              </w:rPr>
              <w:t>#2.5.f.iii – Publicly listed companies</w:t>
            </w:r>
          </w:p>
        </w:tc>
      </w:tr>
      <w:tr w:rsidR="00BB62F4" w14:paraId="2A080A21" w14:textId="77777777">
        <w:tc>
          <w:tcPr>
            <w:tcW w:w="1668" w:type="dxa"/>
            <w:tcBorders>
              <w:top w:val="single" w:sz="4" w:space="0" w:color="000000"/>
              <w:left w:val="nil"/>
              <w:bottom w:val="single" w:sz="4" w:space="0" w:color="000000"/>
              <w:right w:val="nil"/>
            </w:tcBorders>
          </w:tcPr>
          <w:p w14:paraId="395B021F" w14:textId="77777777" w:rsidR="00BB62F4" w:rsidRDefault="00000000">
            <w:pPr>
              <w:rPr>
                <w:i/>
                <w:iCs/>
              </w:rPr>
            </w:pPr>
            <w:r>
              <w:rPr>
                <w:i/>
                <w:iCs/>
              </w:rPr>
              <w:t>Availability</w:t>
            </w:r>
          </w:p>
        </w:tc>
        <w:tc>
          <w:tcPr>
            <w:tcW w:w="7512" w:type="dxa"/>
            <w:tcBorders>
              <w:top w:val="single" w:sz="4" w:space="0" w:color="000000"/>
              <w:left w:val="nil"/>
              <w:bottom w:val="single" w:sz="4" w:space="0" w:color="000000"/>
              <w:right w:val="nil"/>
            </w:tcBorders>
          </w:tcPr>
          <w:p w14:paraId="736D2DC9" w14:textId="77777777" w:rsidR="00BB62F4" w:rsidRDefault="00000000">
            <w:pPr>
              <w:rPr>
                <w:b/>
                <w:bCs/>
              </w:rPr>
            </w:pPr>
            <w:r>
              <w:rPr>
                <w:b/>
                <w:bCs/>
              </w:rPr>
              <w:t>Are the names of the stock exchange of publicly listed companies available?</w:t>
            </w:r>
          </w:p>
          <w:p w14:paraId="3E825FA5"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2A9C1EE0" w14:textId="77777777" w:rsidR="00BB62F4" w:rsidRDefault="00BB62F4"/>
          <w:p w14:paraId="42593A5C" w14:textId="77777777" w:rsidR="00BB62F4" w:rsidRDefault="00000000">
            <w:r>
              <w:t>Does this include wholly owned subsidiaries?</w:t>
            </w:r>
            <w:r>
              <w:rPr>
                <w:vertAlign w:val="superscript"/>
              </w:rPr>
              <w:footnoteReference w:id="12"/>
            </w:r>
          </w:p>
          <w:p w14:paraId="7420C418"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280FC368" w14:textId="77777777" w:rsidR="00BB62F4" w:rsidRDefault="00BB62F4"/>
          <w:p w14:paraId="7FC83BD4" w14:textId="77777777" w:rsidR="00BB62F4" w:rsidRDefault="00000000">
            <w:r>
              <w:t xml:space="preserve">Are the </w:t>
            </w:r>
            <w:r>
              <w:rPr>
                <w:b/>
                <w:bCs/>
              </w:rPr>
              <w:t>links</w:t>
            </w:r>
            <w:r>
              <w:t xml:space="preserve"> to the stock exchange filings available for all publicly listed companies in the country?</w:t>
            </w:r>
          </w:p>
          <w:p w14:paraId="3FAC260F"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4A3CD29C" w14:textId="77777777" w:rsidR="00BB62F4" w:rsidRDefault="00BB62F4">
            <w:pPr>
              <w:rPr>
                <w:b/>
                <w:bCs/>
                <w:shd w:val="clear" w:color="auto" w:fill="D9E2F3"/>
              </w:rPr>
            </w:pPr>
          </w:p>
          <w:p w14:paraId="1A687740" w14:textId="77777777" w:rsidR="00BB62F4" w:rsidRDefault="00000000">
            <w:pPr>
              <w:pBdr>
                <w:top w:val="nil"/>
                <w:left w:val="nil"/>
                <w:bottom w:val="nil"/>
                <w:right w:val="nil"/>
                <w:between w:val="nil"/>
              </w:pBdr>
              <w:shd w:val="clear" w:color="auto" w:fill="FFFFFF"/>
              <w:ind w:left="33"/>
              <w:rPr>
                <w:b/>
                <w:bCs/>
                <w:i/>
                <w:iCs/>
                <w:color w:val="000000"/>
              </w:rPr>
            </w:pPr>
            <w:r>
              <w:rPr>
                <w:b/>
                <w:bCs/>
                <w:i/>
                <w:iCs/>
                <w:color w:val="000000"/>
              </w:rPr>
              <w:lastRenderedPageBreak/>
              <w:t>Where to find information on listed companies:</w:t>
            </w:r>
          </w:p>
          <w:p w14:paraId="34B39E27" w14:textId="77777777" w:rsidR="00BB62F4" w:rsidRDefault="00000000">
            <w:pPr>
              <w:pBdr>
                <w:top w:val="nil"/>
                <w:left w:val="nil"/>
                <w:bottom w:val="nil"/>
                <w:right w:val="nil"/>
                <w:between w:val="nil"/>
              </w:pBdr>
              <w:shd w:val="clear" w:color="auto" w:fill="FFFFFF"/>
              <w:ind w:left="33"/>
              <w:rPr>
                <w:color w:val="000000"/>
                <w:shd w:val="clear" w:color="auto" w:fill="D9E2F3"/>
              </w:rPr>
            </w:pPr>
            <w:r>
              <w:rPr>
                <w:color w:val="000000"/>
              </w:rPr>
              <w:t xml:space="preserve">Systematic disclosures: </w:t>
            </w:r>
            <w:r>
              <w:rPr>
                <w:color w:val="000000"/>
                <w:shd w:val="clear" w:color="auto" w:fill="D9E2F3"/>
              </w:rPr>
              <w:t xml:space="preserve">website www. or routine publication, typically by the </w:t>
            </w:r>
            <w:hyperlink w:anchor="_heading=h.ceyfom1ili73">
              <w:r>
                <w:rPr>
                  <w:color w:val="0000FF"/>
                  <w:u w:val="single"/>
                  <w:shd w:val="clear" w:color="auto" w:fill="D9E2F3"/>
                </w:rPr>
                <w:t>holders of information</w:t>
              </w:r>
            </w:hyperlink>
            <w:r>
              <w:rPr>
                <w:color w:val="000000"/>
                <w:shd w:val="clear" w:color="auto" w:fill="D9E2F3"/>
              </w:rPr>
              <w:t xml:space="preserve"> or </w:t>
            </w:r>
            <w:proofErr w:type="spellStart"/>
            <w:r>
              <w:rPr>
                <w:color w:val="000000"/>
                <w:shd w:val="clear" w:color="auto" w:fill="D9E2F3"/>
              </w:rPr>
              <w:t>urls</w:t>
            </w:r>
            <w:proofErr w:type="spellEnd"/>
            <w:r>
              <w:rPr>
                <w:color w:val="000000"/>
                <w:shd w:val="clear" w:color="auto" w:fill="D9E2F3"/>
              </w:rPr>
              <w:t xml:space="preserve"> to stock exchange filings</w:t>
            </w:r>
          </w:p>
          <w:p w14:paraId="69C71814" w14:textId="77777777" w:rsidR="00BB62F4" w:rsidRDefault="00000000">
            <w:pPr>
              <w:numPr>
                <w:ilvl w:val="0"/>
                <w:numId w:val="61"/>
              </w:numPr>
              <w:shd w:val="clear" w:color="auto" w:fill="FFFFFF"/>
              <w:rPr>
                <w:rFonts w:ascii="EB Garamond" w:eastAsia="EB Garamond" w:hAnsi="EB Garamond" w:cs="EB Garamond"/>
                <w:color w:val="000000"/>
              </w:rPr>
            </w:pPr>
            <w:hyperlink r:id="rId189">
              <w:r>
                <w:rPr>
                  <w:rFonts w:ascii="EB Garamond" w:eastAsia="EB Garamond" w:hAnsi="EB Garamond" w:cs="EB Garamond"/>
                  <w:color w:val="0000FF"/>
                  <w:u w:val="single"/>
                </w:rPr>
                <w:t>https://ngxgroup.com/exchange/trade/equities/listed-companies/</w:t>
              </w:r>
            </w:hyperlink>
          </w:p>
          <w:p w14:paraId="15F3B646" w14:textId="77777777" w:rsidR="00BB62F4" w:rsidRDefault="00BB62F4">
            <w:pPr>
              <w:pBdr>
                <w:top w:val="nil"/>
                <w:left w:val="nil"/>
                <w:bottom w:val="nil"/>
                <w:right w:val="nil"/>
                <w:between w:val="nil"/>
              </w:pBdr>
              <w:shd w:val="clear" w:color="auto" w:fill="FFFFFF"/>
              <w:ind w:left="33"/>
              <w:rPr>
                <w:color w:val="000000"/>
              </w:rPr>
            </w:pPr>
          </w:p>
          <w:p w14:paraId="41A44A56" w14:textId="77777777" w:rsidR="00BB62F4" w:rsidRDefault="00000000">
            <w:pPr>
              <w:pBdr>
                <w:top w:val="nil"/>
                <w:left w:val="nil"/>
                <w:bottom w:val="nil"/>
                <w:right w:val="nil"/>
                <w:between w:val="nil"/>
              </w:pBdr>
              <w:shd w:val="clear" w:color="auto" w:fill="FFFFFF"/>
              <w:ind w:left="33"/>
              <w:rPr>
                <w:color w:val="000000"/>
              </w:rPr>
            </w:pPr>
            <w:r>
              <w:rPr>
                <w:color w:val="000000"/>
              </w:rPr>
              <w:t>AND / OR</w:t>
            </w:r>
          </w:p>
          <w:p w14:paraId="56C493D7" w14:textId="77777777" w:rsidR="00BB62F4" w:rsidRDefault="00000000">
            <w:pPr>
              <w:rPr>
                <w:color w:val="808080"/>
              </w:rPr>
            </w:pPr>
            <w:r>
              <w:t xml:space="preserve">Other sources: </w:t>
            </w:r>
            <w:r>
              <w:rPr>
                <w:shd w:val="clear" w:color="auto" w:fill="D9E2F3"/>
              </w:rPr>
              <w:t>EITI Report (year and page number), EITI hosted website, etc</w:t>
            </w:r>
          </w:p>
          <w:p w14:paraId="4E688DB3" w14:textId="77777777" w:rsidR="00BB62F4" w:rsidRDefault="00BB62F4">
            <w:pPr>
              <w:rPr>
                <w:b/>
                <w:bCs/>
              </w:rPr>
            </w:pPr>
          </w:p>
          <w:p w14:paraId="1C10E9C4" w14:textId="77777777" w:rsidR="00BB62F4" w:rsidRDefault="00000000">
            <w:pPr>
              <w:rPr>
                <w:b/>
                <w:bCs/>
              </w:rPr>
            </w:pPr>
            <w:r>
              <w:rPr>
                <w:b/>
                <w:bCs/>
              </w:rPr>
              <w:t>Is the information on the listed companies correct and comprehensive?</w:t>
            </w:r>
          </w:p>
          <w:p w14:paraId="4FE4C098"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15BD707F" w14:textId="77777777" w:rsidR="00BB62F4" w:rsidRDefault="00000000">
            <w:pPr>
              <w:shd w:val="clear" w:color="auto" w:fill="D9E2F3"/>
              <w:rPr>
                <w:i/>
                <w:iCs/>
              </w:rPr>
            </w:pPr>
            <w:r>
              <w:t xml:space="preserve">Explain: </w:t>
            </w:r>
            <w:r>
              <w:rPr>
                <w:i/>
                <w:iCs/>
              </w:rPr>
              <w:t xml:space="preserve">For example, there are links missing to some of the listed companies, or they are incorrect. </w:t>
            </w:r>
          </w:p>
          <w:p w14:paraId="1F91737B" w14:textId="77777777" w:rsidR="00BB62F4" w:rsidRDefault="00BB62F4">
            <w:pPr>
              <w:rPr>
                <w:shd w:val="clear" w:color="auto" w:fill="D9E2F3"/>
              </w:rPr>
            </w:pPr>
          </w:p>
        </w:tc>
      </w:tr>
      <w:tr w:rsidR="00BB62F4" w14:paraId="1A71AA9F" w14:textId="77777777">
        <w:tc>
          <w:tcPr>
            <w:tcW w:w="1668" w:type="dxa"/>
            <w:tcBorders>
              <w:top w:val="single" w:sz="4" w:space="0" w:color="000000"/>
              <w:left w:val="nil"/>
              <w:bottom w:val="single" w:sz="4" w:space="0" w:color="000000"/>
              <w:right w:val="nil"/>
            </w:tcBorders>
            <w:shd w:val="clear" w:color="auto" w:fill="B4C6E7"/>
          </w:tcPr>
          <w:p w14:paraId="117962AB" w14:textId="77777777" w:rsidR="00BB62F4" w:rsidRDefault="00000000">
            <w:pPr>
              <w:rPr>
                <w:i/>
                <w:iCs/>
              </w:rPr>
            </w:pPr>
            <w:r>
              <w:rPr>
                <w:b/>
                <w:bCs/>
              </w:rPr>
              <w:lastRenderedPageBreak/>
              <w:t>Encouraged</w:t>
            </w:r>
          </w:p>
        </w:tc>
        <w:tc>
          <w:tcPr>
            <w:tcW w:w="7512" w:type="dxa"/>
            <w:tcBorders>
              <w:top w:val="single" w:sz="4" w:space="0" w:color="000000"/>
              <w:left w:val="nil"/>
              <w:bottom w:val="single" w:sz="4" w:space="0" w:color="000000"/>
              <w:right w:val="nil"/>
            </w:tcBorders>
            <w:shd w:val="clear" w:color="auto" w:fill="B4C6E7"/>
          </w:tcPr>
          <w:p w14:paraId="78CAE2F4" w14:textId="77777777" w:rsidR="00BB62F4" w:rsidRDefault="00000000">
            <w:pPr>
              <w:rPr>
                <w:b/>
                <w:bCs/>
              </w:rPr>
            </w:pPr>
            <w:r>
              <w:rPr>
                <w:b/>
                <w:bCs/>
              </w:rPr>
              <w:t>#2.5.f.iii – Review of quality of stock exchange filings of publicly listed companies</w:t>
            </w:r>
          </w:p>
        </w:tc>
      </w:tr>
      <w:tr w:rsidR="00BB62F4" w14:paraId="03ABFAD2" w14:textId="77777777">
        <w:tc>
          <w:tcPr>
            <w:tcW w:w="1668" w:type="dxa"/>
            <w:tcBorders>
              <w:top w:val="single" w:sz="4" w:space="0" w:color="000000"/>
              <w:left w:val="nil"/>
              <w:bottom w:val="single" w:sz="4" w:space="0" w:color="000000"/>
              <w:right w:val="nil"/>
            </w:tcBorders>
            <w:shd w:val="clear" w:color="auto" w:fill="FFFFFF"/>
          </w:tcPr>
          <w:p w14:paraId="15AB5288" w14:textId="77777777" w:rsidR="00BB62F4" w:rsidRDefault="00000000">
            <w:pPr>
              <w:rPr>
                <w:i/>
                <w:iCs/>
              </w:rPr>
            </w:pPr>
            <w:r>
              <w:rPr>
                <w:i/>
                <w:iCs/>
              </w:rPr>
              <w:t>Comprehensiveness and reliability</w:t>
            </w:r>
          </w:p>
        </w:tc>
        <w:tc>
          <w:tcPr>
            <w:tcW w:w="7512" w:type="dxa"/>
            <w:tcBorders>
              <w:top w:val="single" w:sz="4" w:space="0" w:color="000000"/>
              <w:left w:val="nil"/>
              <w:bottom w:val="single" w:sz="4" w:space="0" w:color="000000"/>
              <w:right w:val="nil"/>
            </w:tcBorders>
            <w:shd w:val="clear" w:color="auto" w:fill="FFFFFF"/>
          </w:tcPr>
          <w:p w14:paraId="6889EACB" w14:textId="77777777" w:rsidR="00BB62F4" w:rsidRDefault="00000000">
            <w:pPr>
              <w:rPr>
                <w:b/>
                <w:bCs/>
              </w:rPr>
            </w:pPr>
            <w:r>
              <w:rPr>
                <w:b/>
                <w:bCs/>
              </w:rPr>
              <w:t>Has the MSG reviewed the comprehensiveness and reliability of ownership information disclosed in the stock exchange fillings?</w:t>
            </w:r>
          </w:p>
          <w:p w14:paraId="0E016137"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65FB2AEF" w14:textId="77777777" w:rsidR="00BB62F4" w:rsidRDefault="00000000">
            <w:pPr>
              <w:pBdr>
                <w:top w:val="nil"/>
                <w:left w:val="nil"/>
                <w:bottom w:val="nil"/>
                <w:right w:val="nil"/>
                <w:between w:val="nil"/>
              </w:pBdr>
              <w:shd w:val="clear" w:color="auto" w:fill="FFFFFF"/>
              <w:ind w:left="33"/>
              <w:rPr>
                <w:b/>
                <w:bCs/>
                <w:i/>
                <w:iCs/>
                <w:color w:val="000000"/>
              </w:rPr>
            </w:pPr>
            <w:r>
              <w:rPr>
                <w:b/>
                <w:bCs/>
                <w:i/>
                <w:iCs/>
                <w:color w:val="000000"/>
              </w:rPr>
              <w:t>Where can the result of that review be found?</w:t>
            </w:r>
          </w:p>
          <w:p w14:paraId="6FAAF640" w14:textId="77777777" w:rsidR="00BB62F4" w:rsidRDefault="00000000">
            <w:pPr>
              <w:pBdr>
                <w:top w:val="nil"/>
                <w:left w:val="nil"/>
                <w:bottom w:val="nil"/>
                <w:right w:val="nil"/>
                <w:between w:val="nil"/>
              </w:pBdr>
              <w:shd w:val="clear" w:color="auto" w:fill="FFFFFF"/>
              <w:ind w:left="33"/>
              <w:rPr>
                <w:color w:val="000000"/>
              </w:rPr>
            </w:pPr>
            <w:r>
              <w:rPr>
                <w:color w:val="000000"/>
              </w:rPr>
              <w:t xml:space="preserve">Systematic disclosures: </w:t>
            </w:r>
            <w:r>
              <w:rPr>
                <w:color w:val="000000"/>
                <w:shd w:val="clear" w:color="auto" w:fill="D9E2F3"/>
              </w:rPr>
              <w:t xml:space="preserve">website www. or routine publication, typically by the </w:t>
            </w:r>
            <w:hyperlink w:anchor="_heading=h.ceyfom1ili73">
              <w:r>
                <w:rPr>
                  <w:color w:val="0000FF"/>
                  <w:u w:val="single"/>
                  <w:shd w:val="clear" w:color="auto" w:fill="D9E2F3"/>
                </w:rPr>
                <w:t>holders of information</w:t>
              </w:r>
            </w:hyperlink>
            <w:r>
              <w:rPr>
                <w:color w:val="000000"/>
                <w:shd w:val="clear" w:color="auto" w:fill="D9E2F3"/>
              </w:rPr>
              <w:t xml:space="preserve">, oversight institutions </w:t>
            </w:r>
          </w:p>
          <w:p w14:paraId="0CB5F6E1" w14:textId="77777777" w:rsidR="00BB62F4" w:rsidRDefault="00000000">
            <w:pPr>
              <w:pBdr>
                <w:top w:val="nil"/>
                <w:left w:val="nil"/>
                <w:bottom w:val="nil"/>
                <w:right w:val="nil"/>
                <w:between w:val="nil"/>
              </w:pBdr>
              <w:shd w:val="clear" w:color="auto" w:fill="FFFFFF"/>
              <w:ind w:left="33"/>
              <w:rPr>
                <w:color w:val="000000"/>
              </w:rPr>
            </w:pPr>
            <w:r>
              <w:rPr>
                <w:color w:val="000000"/>
              </w:rPr>
              <w:t>AND / OR</w:t>
            </w:r>
          </w:p>
          <w:p w14:paraId="3BCCD281" w14:textId="77777777" w:rsidR="00BB62F4" w:rsidRDefault="00000000">
            <w:pPr>
              <w:rPr>
                <w:shd w:val="clear" w:color="auto" w:fill="D9E2F3"/>
              </w:rPr>
            </w:pPr>
            <w:r>
              <w:t xml:space="preserve">Other sources: </w:t>
            </w:r>
            <w:r>
              <w:rPr>
                <w:shd w:val="clear" w:color="auto" w:fill="D9E2F3"/>
              </w:rPr>
              <w:t>EITI Report (year and page number), study undertaken by experts, etc</w:t>
            </w:r>
          </w:p>
          <w:p w14:paraId="3BB4849E" w14:textId="77777777" w:rsidR="00BB62F4" w:rsidRDefault="00000000">
            <w:pPr>
              <w:numPr>
                <w:ilvl w:val="0"/>
                <w:numId w:val="62"/>
              </w:numPr>
              <w:rPr>
                <w:rFonts w:ascii="EB Garamond" w:eastAsia="EB Garamond" w:hAnsi="EB Garamond" w:cs="EB Garamond"/>
                <w:color w:val="000000"/>
              </w:rPr>
            </w:pPr>
            <w:hyperlink r:id="rId190">
              <w:r>
                <w:rPr>
                  <w:rFonts w:ascii="EB Garamond" w:eastAsia="EB Garamond" w:hAnsi="EB Garamond" w:cs="EB Garamond"/>
                  <w:color w:val="1155CC"/>
                  <w:u w:val="single"/>
                </w:rPr>
                <w:t>NEITI-OGA-2023-AUDIT-REPORT.pdf</w:t>
              </w:r>
            </w:hyperlink>
            <w:r>
              <w:rPr>
                <w:rFonts w:ascii="EB Garamond" w:eastAsia="EB Garamond" w:hAnsi="EB Garamond" w:cs="EB Garamond"/>
              </w:rPr>
              <w:t xml:space="preserve"> </w:t>
            </w:r>
            <w:r>
              <w:rPr>
                <w:rFonts w:ascii="EB Garamond" w:eastAsia="EB Garamond" w:hAnsi="EB Garamond" w:cs="EB Garamond"/>
                <w:color w:val="000000"/>
              </w:rPr>
              <w:t xml:space="preserve"> (Chapter 9, page 106)</w:t>
            </w:r>
          </w:p>
          <w:p w14:paraId="17506E81" w14:textId="77777777" w:rsidR="00BB62F4" w:rsidRDefault="00BB62F4">
            <w:pPr>
              <w:rPr>
                <w:b/>
                <w:bCs/>
              </w:rPr>
            </w:pPr>
          </w:p>
        </w:tc>
      </w:tr>
      <w:tr w:rsidR="00BB62F4" w14:paraId="61EF71EB" w14:textId="77777777">
        <w:tc>
          <w:tcPr>
            <w:tcW w:w="1668" w:type="dxa"/>
            <w:tcBorders>
              <w:top w:val="single" w:sz="4" w:space="0" w:color="000000"/>
              <w:left w:val="nil"/>
              <w:bottom w:val="single" w:sz="4" w:space="0" w:color="000000"/>
              <w:right w:val="nil"/>
            </w:tcBorders>
            <w:shd w:val="clear" w:color="auto" w:fill="B4C6E7"/>
          </w:tcPr>
          <w:p w14:paraId="77C2075A" w14:textId="77777777" w:rsidR="00BB62F4" w:rsidRDefault="00000000">
            <w:pPr>
              <w:rPr>
                <w:i/>
                <w:iCs/>
              </w:rPr>
            </w:pPr>
            <w:r>
              <w:rPr>
                <w:b/>
                <w:bCs/>
              </w:rPr>
              <w:t>Required</w:t>
            </w:r>
          </w:p>
        </w:tc>
        <w:tc>
          <w:tcPr>
            <w:tcW w:w="7512" w:type="dxa"/>
            <w:tcBorders>
              <w:top w:val="single" w:sz="4" w:space="0" w:color="000000"/>
              <w:left w:val="nil"/>
              <w:bottom w:val="single" w:sz="4" w:space="0" w:color="000000"/>
              <w:right w:val="nil"/>
            </w:tcBorders>
            <w:shd w:val="clear" w:color="auto" w:fill="B4C6E7"/>
          </w:tcPr>
          <w:p w14:paraId="69A10952" w14:textId="77777777" w:rsidR="00BB62F4" w:rsidRDefault="00000000">
            <w:pPr>
              <w:rPr>
                <w:b/>
                <w:bCs/>
              </w:rPr>
            </w:pPr>
            <w:r>
              <w:rPr>
                <w:b/>
                <w:bCs/>
              </w:rPr>
              <w:t>#2.5.</w:t>
            </w:r>
            <w:proofErr w:type="gramStart"/>
            <w:r>
              <w:rPr>
                <w:b/>
                <w:bCs/>
              </w:rPr>
              <w:t>f.iv</w:t>
            </w:r>
            <w:proofErr w:type="gramEnd"/>
            <w:r>
              <w:rPr>
                <w:b/>
                <w:bCs/>
              </w:rPr>
              <w:t xml:space="preserve"> – Joint ventures</w:t>
            </w:r>
          </w:p>
        </w:tc>
      </w:tr>
      <w:tr w:rsidR="00BB62F4" w14:paraId="1A69D2E6" w14:textId="77777777">
        <w:tc>
          <w:tcPr>
            <w:tcW w:w="1668" w:type="dxa"/>
            <w:tcBorders>
              <w:top w:val="single" w:sz="4" w:space="0" w:color="000000"/>
              <w:left w:val="nil"/>
              <w:bottom w:val="single" w:sz="4" w:space="0" w:color="000000"/>
              <w:right w:val="nil"/>
            </w:tcBorders>
          </w:tcPr>
          <w:p w14:paraId="39F22A20" w14:textId="77777777" w:rsidR="00BB62F4" w:rsidRDefault="00000000">
            <w:pPr>
              <w:rPr>
                <w:i/>
                <w:iCs/>
              </w:rPr>
            </w:pPr>
            <w:r>
              <w:rPr>
                <w:i/>
                <w:iCs/>
              </w:rPr>
              <w:t>Availability</w:t>
            </w:r>
          </w:p>
        </w:tc>
        <w:tc>
          <w:tcPr>
            <w:tcW w:w="7512" w:type="dxa"/>
            <w:tcBorders>
              <w:top w:val="single" w:sz="4" w:space="0" w:color="000000"/>
              <w:left w:val="nil"/>
              <w:bottom w:val="single" w:sz="4" w:space="0" w:color="000000"/>
              <w:right w:val="nil"/>
            </w:tcBorders>
          </w:tcPr>
          <w:p w14:paraId="1A46DABB" w14:textId="77777777" w:rsidR="00BB62F4" w:rsidRDefault="00000000">
            <w:pPr>
              <w:rPr>
                <w:b/>
                <w:bCs/>
              </w:rPr>
            </w:pPr>
            <w:r>
              <w:rPr>
                <w:b/>
                <w:bCs/>
              </w:rPr>
              <w:t>Are the beneficial owners of each entity of the joint ventures</w:t>
            </w:r>
            <w:r>
              <w:rPr>
                <w:b/>
                <w:bCs/>
                <w:vertAlign w:val="superscript"/>
              </w:rPr>
              <w:footnoteReference w:id="13"/>
            </w:r>
            <w:r>
              <w:rPr>
                <w:b/>
                <w:bCs/>
              </w:rPr>
              <w:t xml:space="preserve"> disclosed (unless publicly listed or wholly-owned subsidiary of a publicly listed company)?</w:t>
            </w:r>
          </w:p>
          <w:p w14:paraId="2B41E7E4" w14:textId="77777777" w:rsidR="00BB62F4" w:rsidRDefault="00000000">
            <w:pPr>
              <w:rPr>
                <w:b/>
                <w:bCs/>
              </w:rPr>
            </w:pPr>
            <w:r>
              <w:rPr>
                <w:b/>
                <w:bCs/>
              </w:rPr>
              <w:t xml:space="preserve"> </w:t>
            </w: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 xml:space="preserve">No </w:t>
            </w:r>
            <w:r>
              <w:t xml:space="preserve">         </w:t>
            </w:r>
            <w:r>
              <w:rPr>
                <w:rFonts w:ascii="MS Gothic" w:eastAsia="MS Gothic" w:hAnsi="MS Gothic" w:cs="MS Gothic"/>
              </w:rPr>
              <w:t>☐</w:t>
            </w:r>
            <w:r>
              <w:rPr>
                <w:shd w:val="clear" w:color="auto" w:fill="D9E2F3"/>
              </w:rPr>
              <w:t xml:space="preserve">No joint ventures – not applicable </w:t>
            </w:r>
            <w:r>
              <w:t xml:space="preserve">         </w:t>
            </w:r>
          </w:p>
        </w:tc>
      </w:tr>
      <w:tr w:rsidR="00BB62F4" w14:paraId="38F53414" w14:textId="77777777">
        <w:tc>
          <w:tcPr>
            <w:tcW w:w="1668" w:type="dxa"/>
            <w:tcBorders>
              <w:top w:val="single" w:sz="4" w:space="0" w:color="000000"/>
              <w:left w:val="nil"/>
              <w:bottom w:val="single" w:sz="4" w:space="0" w:color="000000"/>
              <w:right w:val="nil"/>
            </w:tcBorders>
            <w:shd w:val="clear" w:color="auto" w:fill="B4C6E7"/>
          </w:tcPr>
          <w:p w14:paraId="68CC7674" w14:textId="77777777" w:rsidR="00BB62F4" w:rsidRDefault="00000000">
            <w:pPr>
              <w:rPr>
                <w:i/>
                <w:iCs/>
              </w:rPr>
            </w:pPr>
            <w:r>
              <w:rPr>
                <w:b/>
                <w:bCs/>
              </w:rPr>
              <w:t>Required</w:t>
            </w:r>
          </w:p>
        </w:tc>
        <w:tc>
          <w:tcPr>
            <w:tcW w:w="7512" w:type="dxa"/>
            <w:tcBorders>
              <w:top w:val="single" w:sz="4" w:space="0" w:color="000000"/>
              <w:left w:val="nil"/>
              <w:bottom w:val="single" w:sz="4" w:space="0" w:color="000000"/>
              <w:right w:val="nil"/>
            </w:tcBorders>
            <w:shd w:val="clear" w:color="auto" w:fill="B4C6E7"/>
          </w:tcPr>
          <w:p w14:paraId="06E92320" w14:textId="77777777" w:rsidR="00BB62F4" w:rsidRDefault="00000000">
            <w:pPr>
              <w:rPr>
                <w:b/>
                <w:bCs/>
              </w:rPr>
            </w:pPr>
            <w:r>
              <w:rPr>
                <w:b/>
                <w:bCs/>
              </w:rPr>
              <w:t>#2.5.</w:t>
            </w:r>
            <w:proofErr w:type="gramStart"/>
            <w:r>
              <w:rPr>
                <w:b/>
                <w:bCs/>
              </w:rPr>
              <w:t>f.v</w:t>
            </w:r>
            <w:proofErr w:type="gramEnd"/>
            <w:r>
              <w:rPr>
                <w:b/>
                <w:bCs/>
              </w:rPr>
              <w:t xml:space="preserve"> – Ownership of SOEs</w:t>
            </w:r>
          </w:p>
        </w:tc>
      </w:tr>
      <w:tr w:rsidR="00BB62F4" w14:paraId="7E689E88" w14:textId="77777777">
        <w:tc>
          <w:tcPr>
            <w:tcW w:w="1668" w:type="dxa"/>
            <w:tcBorders>
              <w:top w:val="single" w:sz="4" w:space="0" w:color="000000"/>
              <w:left w:val="nil"/>
              <w:bottom w:val="single" w:sz="4" w:space="0" w:color="000000"/>
              <w:right w:val="nil"/>
            </w:tcBorders>
          </w:tcPr>
          <w:p w14:paraId="31DBB89C" w14:textId="77777777" w:rsidR="00BB62F4" w:rsidRDefault="00000000">
            <w:pPr>
              <w:rPr>
                <w:i/>
                <w:iCs/>
              </w:rPr>
            </w:pPr>
            <w:r>
              <w:rPr>
                <w:i/>
                <w:iCs/>
              </w:rPr>
              <w:t>Availability</w:t>
            </w:r>
          </w:p>
        </w:tc>
        <w:tc>
          <w:tcPr>
            <w:tcW w:w="7512" w:type="dxa"/>
            <w:tcBorders>
              <w:top w:val="single" w:sz="4" w:space="0" w:color="000000"/>
              <w:left w:val="nil"/>
              <w:bottom w:val="single" w:sz="4" w:space="0" w:color="000000"/>
              <w:right w:val="nil"/>
            </w:tcBorders>
          </w:tcPr>
          <w:p w14:paraId="55460E3D" w14:textId="77777777" w:rsidR="00BB62F4" w:rsidRDefault="00000000">
            <w:pPr>
              <w:rPr>
                <w:b/>
                <w:bCs/>
              </w:rPr>
            </w:pPr>
            <w:r>
              <w:rPr>
                <w:b/>
                <w:bCs/>
              </w:rPr>
              <w:t xml:space="preserve">If there are SOEs that hold </w:t>
            </w:r>
            <w:r>
              <w:rPr>
                <w:b/>
                <w:bCs/>
                <w:u w:val="single"/>
              </w:rPr>
              <w:t>any</w:t>
            </w:r>
            <w:r>
              <w:rPr>
                <w:b/>
                <w:bCs/>
              </w:rPr>
              <w:t xml:space="preserve"> interest in extractive licenses, are the name(s) of the state(s) owning or controlling the SOE(s) available?</w:t>
            </w:r>
          </w:p>
          <w:p w14:paraId="7B9D24A1"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69338F6" w14:textId="77777777" w:rsidR="00BB62F4" w:rsidRDefault="00BB62F4"/>
          <w:p w14:paraId="68FD1499" w14:textId="77777777" w:rsidR="00BB62F4" w:rsidRDefault="00000000">
            <w:pPr>
              <w:rPr>
                <w:b/>
                <w:bCs/>
              </w:rPr>
            </w:pPr>
            <w:r>
              <w:rPr>
                <w:b/>
                <w:bCs/>
              </w:rPr>
              <w:t>Does that include the level of ownership and details about how ownership or control is exerted?</w:t>
            </w:r>
          </w:p>
          <w:p w14:paraId="500C2C9D"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7E18669D" w14:textId="77777777" w:rsidR="00BB62F4" w:rsidRDefault="00000000">
            <w:pPr>
              <w:rPr>
                <w:b/>
                <w:bCs/>
              </w:rPr>
            </w:pPr>
            <w:r>
              <w:br/>
            </w:r>
            <w:r>
              <w:rPr>
                <w:b/>
                <w:bCs/>
              </w:rPr>
              <w:t xml:space="preserve">For SOEs not </w:t>
            </w:r>
            <w:r>
              <w:rPr>
                <w:b/>
                <w:bCs/>
                <w:u w:val="single"/>
              </w:rPr>
              <w:t>fully</w:t>
            </w:r>
            <w:r>
              <w:rPr>
                <w:b/>
                <w:bCs/>
              </w:rPr>
              <w:t xml:space="preserve"> owned by the state, is the beneficial ownership information of the SOE available in line with 2.5.c?</w:t>
            </w:r>
          </w:p>
          <w:p w14:paraId="09257E3D"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r w:rsidR="00BB62F4" w14:paraId="425229F5" w14:textId="77777777">
        <w:tc>
          <w:tcPr>
            <w:tcW w:w="1668" w:type="dxa"/>
            <w:tcBorders>
              <w:top w:val="single" w:sz="4" w:space="0" w:color="000000"/>
              <w:left w:val="nil"/>
              <w:bottom w:val="single" w:sz="4" w:space="0" w:color="000000"/>
              <w:right w:val="nil"/>
            </w:tcBorders>
            <w:shd w:val="clear" w:color="auto" w:fill="B4C6E7"/>
          </w:tcPr>
          <w:p w14:paraId="0E96C657" w14:textId="77777777" w:rsidR="00BB62F4" w:rsidRDefault="00000000">
            <w:pPr>
              <w:rPr>
                <w:i/>
                <w:iCs/>
              </w:rPr>
            </w:pPr>
            <w:r>
              <w:rPr>
                <w:b/>
                <w:bCs/>
              </w:rPr>
              <w:lastRenderedPageBreak/>
              <w:t>Encouraged</w:t>
            </w:r>
          </w:p>
        </w:tc>
        <w:tc>
          <w:tcPr>
            <w:tcW w:w="7512" w:type="dxa"/>
            <w:tcBorders>
              <w:top w:val="single" w:sz="4" w:space="0" w:color="000000"/>
              <w:left w:val="nil"/>
              <w:bottom w:val="single" w:sz="4" w:space="0" w:color="000000"/>
              <w:right w:val="nil"/>
            </w:tcBorders>
            <w:shd w:val="clear" w:color="auto" w:fill="B4C6E7"/>
          </w:tcPr>
          <w:p w14:paraId="49439FB1" w14:textId="77777777" w:rsidR="00BB62F4" w:rsidRDefault="00000000">
            <w:pPr>
              <w:rPr>
                <w:b/>
                <w:bCs/>
              </w:rPr>
            </w:pPr>
            <w:r>
              <w:rPr>
                <w:b/>
                <w:bCs/>
              </w:rPr>
              <w:t>#2.</w:t>
            </w:r>
            <w:proofErr w:type="gramStart"/>
            <w:r>
              <w:rPr>
                <w:b/>
                <w:bCs/>
              </w:rPr>
              <w:t>5.a</w:t>
            </w:r>
            <w:proofErr w:type="gramEnd"/>
            <w:r>
              <w:rPr>
                <w:b/>
                <w:bCs/>
              </w:rPr>
              <w:t xml:space="preserve"> – Public register of beneficial owners</w:t>
            </w:r>
          </w:p>
        </w:tc>
      </w:tr>
      <w:tr w:rsidR="00BB62F4" w14:paraId="452DB228" w14:textId="77777777">
        <w:tc>
          <w:tcPr>
            <w:tcW w:w="1668" w:type="dxa"/>
            <w:tcBorders>
              <w:top w:val="single" w:sz="4" w:space="0" w:color="000000"/>
              <w:left w:val="nil"/>
              <w:bottom w:val="single" w:sz="4" w:space="0" w:color="000000"/>
              <w:right w:val="nil"/>
            </w:tcBorders>
            <w:shd w:val="clear" w:color="auto" w:fill="FFFFFF"/>
          </w:tcPr>
          <w:p w14:paraId="652081FB" w14:textId="77777777" w:rsidR="00BB62F4" w:rsidRDefault="00000000">
            <w:pPr>
              <w:rPr>
                <w:i/>
                <w:iCs/>
              </w:rPr>
            </w:pPr>
            <w:r>
              <w:rPr>
                <w:i/>
                <w:iCs/>
              </w:rPr>
              <w:t>Availability</w:t>
            </w:r>
          </w:p>
        </w:tc>
        <w:tc>
          <w:tcPr>
            <w:tcW w:w="7512" w:type="dxa"/>
            <w:tcBorders>
              <w:top w:val="single" w:sz="4" w:space="0" w:color="000000"/>
              <w:left w:val="nil"/>
              <w:bottom w:val="single" w:sz="4" w:space="0" w:color="000000"/>
              <w:right w:val="nil"/>
            </w:tcBorders>
            <w:shd w:val="clear" w:color="auto" w:fill="FFFFFF"/>
          </w:tcPr>
          <w:p w14:paraId="2B275C31" w14:textId="77777777" w:rsidR="00BB62F4" w:rsidRDefault="00000000">
            <w:pPr>
              <w:rPr>
                <w:b/>
                <w:bCs/>
              </w:rPr>
            </w:pPr>
            <w:r>
              <w:rPr>
                <w:b/>
                <w:bCs/>
              </w:rPr>
              <w:t xml:space="preserve">Are there laws, regulations or policies in place to support back establishing and maintaining a public register of beneficial owners in the </w:t>
            </w:r>
            <w:r>
              <w:rPr>
                <w:color w:val="808080"/>
              </w:rPr>
              <w:t>Choose an item.</w:t>
            </w:r>
            <w:r>
              <w:rPr>
                <w:b/>
                <w:bCs/>
              </w:rPr>
              <w:t xml:space="preserve"> sector?</w:t>
            </w:r>
          </w:p>
          <w:p w14:paraId="20088DC2"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033309AC" w14:textId="77777777" w:rsidR="00BB62F4" w:rsidRDefault="00BB62F4">
            <w:pPr>
              <w:rPr>
                <w:b/>
                <w:bCs/>
              </w:rPr>
            </w:pPr>
          </w:p>
          <w:p w14:paraId="5806B5D1" w14:textId="77777777" w:rsidR="00BB62F4" w:rsidRDefault="00000000">
            <w:pPr>
              <w:rPr>
                <w:b/>
                <w:bCs/>
              </w:rPr>
            </w:pPr>
            <w:r>
              <w:rPr>
                <w:b/>
                <w:bCs/>
              </w:rPr>
              <w:t>Is your country maintaining a publicly available register of the beneficial owners?</w:t>
            </w:r>
          </w:p>
          <w:p w14:paraId="147A04D2"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2817BA5E" w14:textId="77777777" w:rsidR="00BB62F4" w:rsidRDefault="00000000">
            <w:pPr>
              <w:rPr>
                <w:b/>
                <w:bCs/>
                <w:i/>
                <w:iCs/>
              </w:rPr>
            </w:pPr>
            <w:r>
              <w:rPr>
                <w:b/>
                <w:bCs/>
              </w:rPr>
              <w:t>Provide source(s) where this register can be accessed:</w:t>
            </w:r>
            <w:r>
              <w:rPr>
                <w:b/>
                <w:bCs/>
              </w:rPr>
              <w:br/>
            </w:r>
            <w:r>
              <w:rPr>
                <w:i/>
                <w:iCs/>
                <w:shd w:val="clear" w:color="auto" w:fill="D9E2F3"/>
              </w:rPr>
              <w:t>website: www.</w:t>
            </w:r>
            <w:r>
              <w:rPr>
                <w:b/>
                <w:bCs/>
                <w:i/>
                <w:iCs/>
              </w:rPr>
              <w:t xml:space="preserve">  </w:t>
            </w:r>
          </w:p>
          <w:p w14:paraId="315565F7" w14:textId="77777777" w:rsidR="00BB62F4" w:rsidRDefault="00000000">
            <w:pPr>
              <w:numPr>
                <w:ilvl w:val="0"/>
                <w:numId w:val="63"/>
              </w:numPr>
              <w:rPr>
                <w:rFonts w:ascii="EB Garamond" w:eastAsia="EB Garamond" w:hAnsi="EB Garamond" w:cs="EB Garamond"/>
                <w:color w:val="000000"/>
              </w:rPr>
            </w:pPr>
            <w:hyperlink r:id="rId191">
              <w:proofErr w:type="spellStart"/>
              <w:r>
                <w:rPr>
                  <w:rFonts w:ascii="EB Garamond" w:eastAsia="EB Garamond" w:hAnsi="EB Garamond" w:cs="EB Garamond"/>
                  <w:color w:val="1155CC"/>
                  <w:u w:val="single"/>
                </w:rPr>
                <w:t>Nogabor</w:t>
              </w:r>
              <w:proofErr w:type="spellEnd"/>
            </w:hyperlink>
            <w:r>
              <w:rPr>
                <w:rFonts w:ascii="EB Garamond" w:eastAsia="EB Garamond" w:hAnsi="EB Garamond" w:cs="EB Garamond"/>
              </w:rPr>
              <w:t xml:space="preserve"> </w:t>
            </w:r>
          </w:p>
          <w:p w14:paraId="343588F3" w14:textId="77777777" w:rsidR="00BB62F4" w:rsidRDefault="00000000">
            <w:pPr>
              <w:numPr>
                <w:ilvl w:val="0"/>
                <w:numId w:val="63"/>
              </w:numPr>
              <w:rPr>
                <w:rFonts w:ascii="EB Garamond" w:eastAsia="EB Garamond" w:hAnsi="EB Garamond" w:cs="EB Garamond"/>
                <w:color w:val="000000"/>
              </w:rPr>
            </w:pPr>
            <w:hyperlink r:id="rId192">
              <w:r>
                <w:rPr>
                  <w:rFonts w:ascii="EB Garamond" w:eastAsia="EB Garamond" w:hAnsi="EB Garamond" w:cs="EB Garamond"/>
                  <w:color w:val="0000FF"/>
                  <w:u w:val="single"/>
                </w:rPr>
                <w:t>https://bor.cac.gov.ng/</w:t>
              </w:r>
            </w:hyperlink>
          </w:p>
          <w:p w14:paraId="04D3B26A" w14:textId="77777777" w:rsidR="00BB62F4" w:rsidRDefault="00000000">
            <w:pPr>
              <w:numPr>
                <w:ilvl w:val="0"/>
                <w:numId w:val="63"/>
              </w:numPr>
              <w:rPr>
                <w:rFonts w:ascii="EB Garamond" w:eastAsia="EB Garamond" w:hAnsi="EB Garamond" w:cs="EB Garamond"/>
                <w:color w:val="000000"/>
              </w:rPr>
            </w:pPr>
            <w:hyperlink r:id="rId193">
              <w:r>
                <w:rPr>
                  <w:rFonts w:ascii="EB Garamond" w:eastAsia="EB Garamond" w:hAnsi="EB Garamond" w:cs="EB Garamond"/>
                  <w:color w:val="0000FF"/>
                  <w:u w:val="single"/>
                </w:rPr>
                <w:t>https://bo.neiti.gov.ng/og_search</w:t>
              </w:r>
            </w:hyperlink>
          </w:p>
          <w:p w14:paraId="487041B5" w14:textId="77777777" w:rsidR="00BB62F4" w:rsidRDefault="00BB62F4">
            <w:pPr>
              <w:rPr>
                <w:b/>
                <w:bCs/>
              </w:rPr>
            </w:pPr>
          </w:p>
          <w:p w14:paraId="1595953F" w14:textId="77777777" w:rsidR="00BB62F4" w:rsidRDefault="00BB62F4">
            <w:pPr>
              <w:rPr>
                <w:b/>
                <w:bCs/>
              </w:rPr>
            </w:pPr>
          </w:p>
          <w:p w14:paraId="268B5938" w14:textId="77777777" w:rsidR="00BB62F4" w:rsidRDefault="00000000">
            <w:pPr>
              <w:rPr>
                <w:b/>
                <w:bCs/>
              </w:rPr>
            </w:pPr>
            <w:r>
              <w:rPr>
                <w:b/>
                <w:bCs/>
              </w:rPr>
              <w:t>Does this register include the beneficial owners of the corporate identities that:</w:t>
            </w:r>
          </w:p>
          <w:p w14:paraId="4AEA902F" w14:textId="77777777" w:rsidR="00BB62F4" w:rsidRDefault="00000000">
            <w:pPr>
              <w:numPr>
                <w:ilvl w:val="0"/>
                <w:numId w:val="6"/>
              </w:numPr>
              <w:pBdr>
                <w:top w:val="nil"/>
                <w:left w:val="nil"/>
                <w:bottom w:val="nil"/>
                <w:right w:val="nil"/>
                <w:between w:val="nil"/>
              </w:pBdr>
              <w:rPr>
                <w:b/>
                <w:bCs/>
                <w:color w:val="000000"/>
              </w:rPr>
            </w:pPr>
            <w:r>
              <w:rPr>
                <w:color w:val="000000"/>
              </w:rPr>
              <w:t>apply for a participating interest in an exploration license or contract</w:t>
            </w:r>
          </w:p>
          <w:p w14:paraId="23AA48EC" w14:textId="77777777" w:rsidR="00BB62F4" w:rsidRDefault="00000000">
            <w:pPr>
              <w:ind w:left="720"/>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6BC4426" w14:textId="77777777" w:rsidR="00BB62F4" w:rsidRDefault="00000000">
            <w:pPr>
              <w:numPr>
                <w:ilvl w:val="0"/>
                <w:numId w:val="6"/>
              </w:numPr>
              <w:pBdr>
                <w:top w:val="nil"/>
                <w:left w:val="nil"/>
                <w:bottom w:val="nil"/>
                <w:right w:val="nil"/>
                <w:between w:val="nil"/>
              </w:pBdr>
              <w:rPr>
                <w:color w:val="000000"/>
              </w:rPr>
            </w:pPr>
            <w:r>
              <w:rPr>
                <w:color w:val="000000"/>
              </w:rPr>
              <w:t>hold a participating interest in an exploration license or contract</w:t>
            </w:r>
          </w:p>
          <w:p w14:paraId="0F8F4B69" w14:textId="77777777" w:rsidR="00BB62F4" w:rsidRDefault="00000000">
            <w:pPr>
              <w:ind w:left="720"/>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074CBA50" w14:textId="77777777" w:rsidR="00BB62F4" w:rsidRDefault="00000000">
            <w:pPr>
              <w:numPr>
                <w:ilvl w:val="0"/>
                <w:numId w:val="6"/>
              </w:numPr>
              <w:pBdr>
                <w:top w:val="nil"/>
                <w:left w:val="nil"/>
                <w:bottom w:val="nil"/>
                <w:right w:val="nil"/>
                <w:between w:val="nil"/>
              </w:pBdr>
              <w:rPr>
                <w:b/>
                <w:bCs/>
                <w:color w:val="000000"/>
              </w:rPr>
            </w:pPr>
            <w:r>
              <w:rPr>
                <w:color w:val="000000"/>
              </w:rPr>
              <w:t>apply for a participating interest in</w:t>
            </w:r>
            <w:r>
              <w:rPr>
                <w:b/>
                <w:bCs/>
                <w:color w:val="000000"/>
              </w:rPr>
              <w:t xml:space="preserve"> </w:t>
            </w:r>
            <w:r>
              <w:rPr>
                <w:color w:val="000000"/>
              </w:rPr>
              <w:t>a production license or contract</w:t>
            </w:r>
          </w:p>
          <w:p w14:paraId="25944743" w14:textId="77777777" w:rsidR="00BB62F4" w:rsidRDefault="00000000">
            <w:pPr>
              <w:ind w:left="720"/>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447E91A8" w14:textId="77777777" w:rsidR="00BB62F4" w:rsidRDefault="00000000">
            <w:pPr>
              <w:numPr>
                <w:ilvl w:val="0"/>
                <w:numId w:val="6"/>
              </w:numPr>
              <w:pBdr>
                <w:top w:val="nil"/>
                <w:left w:val="nil"/>
                <w:bottom w:val="nil"/>
                <w:right w:val="nil"/>
                <w:between w:val="nil"/>
              </w:pBdr>
              <w:rPr>
                <w:b/>
                <w:bCs/>
                <w:color w:val="000000"/>
              </w:rPr>
            </w:pPr>
            <w:r>
              <w:rPr>
                <w:color w:val="000000"/>
              </w:rPr>
              <w:t>hold a participating interest in a production license or contract</w:t>
            </w:r>
          </w:p>
          <w:p w14:paraId="46A6BC56" w14:textId="77777777" w:rsidR="00BB62F4" w:rsidRDefault="00000000">
            <w:pPr>
              <w:ind w:left="720"/>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05941513" w14:textId="77777777" w:rsidR="00BB62F4" w:rsidRDefault="00BB62F4">
            <w:pPr>
              <w:rPr>
                <w:b/>
                <w:bCs/>
              </w:rPr>
            </w:pPr>
          </w:p>
          <w:p w14:paraId="1CF9279C" w14:textId="77777777" w:rsidR="00BB62F4" w:rsidRDefault="00000000">
            <w:pPr>
              <w:rPr>
                <w:b/>
                <w:bCs/>
              </w:rPr>
            </w:pPr>
            <w:r>
              <w:rPr>
                <w:b/>
                <w:bCs/>
              </w:rPr>
              <w:t>Does the register include the following information:</w:t>
            </w:r>
          </w:p>
          <w:p w14:paraId="1D715DDF" w14:textId="77777777" w:rsidR="00BB62F4" w:rsidRDefault="00000000">
            <w:pPr>
              <w:numPr>
                <w:ilvl w:val="0"/>
                <w:numId w:val="6"/>
              </w:numPr>
              <w:pBdr>
                <w:top w:val="nil"/>
                <w:left w:val="nil"/>
                <w:bottom w:val="nil"/>
                <w:right w:val="nil"/>
                <w:between w:val="nil"/>
              </w:pBdr>
              <w:rPr>
                <w:color w:val="000000"/>
              </w:rPr>
            </w:pPr>
            <w:r>
              <w:rPr>
                <w:color w:val="000000"/>
              </w:rPr>
              <w:t>Identity(</w:t>
            </w:r>
            <w:proofErr w:type="spellStart"/>
            <w:r>
              <w:rPr>
                <w:color w:val="000000"/>
              </w:rPr>
              <w:t>ies</w:t>
            </w:r>
            <w:proofErr w:type="spellEnd"/>
            <w:r>
              <w:rPr>
                <w:color w:val="000000"/>
              </w:rPr>
              <w:t>) of the beneficial owner(s)</w:t>
            </w:r>
          </w:p>
          <w:p w14:paraId="212AF175" w14:textId="77777777" w:rsidR="00BB62F4" w:rsidRDefault="00000000">
            <w:pPr>
              <w:ind w:left="720"/>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077DC6E3" w14:textId="77777777" w:rsidR="00BB62F4" w:rsidRDefault="00000000">
            <w:pPr>
              <w:numPr>
                <w:ilvl w:val="0"/>
                <w:numId w:val="6"/>
              </w:numPr>
              <w:pBdr>
                <w:top w:val="nil"/>
                <w:left w:val="nil"/>
                <w:bottom w:val="nil"/>
                <w:right w:val="nil"/>
                <w:between w:val="nil"/>
              </w:pBdr>
              <w:rPr>
                <w:color w:val="000000"/>
              </w:rPr>
            </w:pPr>
            <w:r>
              <w:rPr>
                <w:color w:val="000000"/>
              </w:rPr>
              <w:lastRenderedPageBreak/>
              <w:t>Level of ownership</w:t>
            </w:r>
          </w:p>
          <w:p w14:paraId="7F439A79" w14:textId="77777777" w:rsidR="00BB62F4" w:rsidRDefault="00000000">
            <w:pPr>
              <w:ind w:left="720"/>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F8A1402" w14:textId="77777777" w:rsidR="00BB62F4" w:rsidRDefault="00000000">
            <w:pPr>
              <w:numPr>
                <w:ilvl w:val="0"/>
                <w:numId w:val="6"/>
              </w:numPr>
              <w:pBdr>
                <w:top w:val="nil"/>
                <w:left w:val="nil"/>
                <w:bottom w:val="nil"/>
                <w:right w:val="nil"/>
                <w:between w:val="nil"/>
              </w:pBdr>
              <w:rPr>
                <w:color w:val="000000"/>
              </w:rPr>
            </w:pPr>
            <w:r>
              <w:rPr>
                <w:color w:val="000000"/>
              </w:rPr>
              <w:t>Details about how the control is exerted</w:t>
            </w:r>
          </w:p>
          <w:p w14:paraId="4F2E7AE6" w14:textId="77777777" w:rsidR="00BB62F4" w:rsidRDefault="00000000">
            <w:pPr>
              <w:ind w:left="462" w:firstLine="283"/>
              <w:rPr>
                <w:b/>
                <w:bCs/>
              </w:rPr>
            </w:pPr>
            <w:r>
              <w:rPr>
                <w:rFonts w:ascii="MS Gothic" w:eastAsia="MS Gothic" w:hAnsi="MS Gothic" w:cs="MS Gothic"/>
              </w:rPr>
              <w:t xml:space="preserve">☒ </w:t>
            </w:r>
            <w:r>
              <w:rPr>
                <w:shd w:val="clear" w:color="auto" w:fill="D9E2F3"/>
              </w:rPr>
              <w:t xml:space="preserve">Yes </w:t>
            </w:r>
            <w:r>
              <w:rPr>
                <w:rFonts w:ascii="MS Gothic" w:eastAsia="MS Gothic" w:hAnsi="MS Gothic" w:cs="MS Gothic"/>
              </w:rPr>
              <w:t xml:space="preserve">     ☐</w:t>
            </w:r>
            <w:r>
              <w:rPr>
                <w:shd w:val="clear" w:color="auto" w:fill="D9E2F3"/>
              </w:rPr>
              <w:t>No</w:t>
            </w:r>
          </w:p>
        </w:tc>
      </w:tr>
      <w:tr w:rsidR="00BB62F4" w14:paraId="49B10C84" w14:textId="77777777">
        <w:tc>
          <w:tcPr>
            <w:tcW w:w="1668" w:type="dxa"/>
            <w:tcBorders>
              <w:top w:val="single" w:sz="4" w:space="0" w:color="000000"/>
              <w:left w:val="nil"/>
              <w:bottom w:val="single" w:sz="4" w:space="0" w:color="000000"/>
              <w:right w:val="nil"/>
            </w:tcBorders>
            <w:shd w:val="clear" w:color="auto" w:fill="B4C6E7"/>
          </w:tcPr>
          <w:p w14:paraId="051871E4" w14:textId="77777777" w:rsidR="00BB62F4" w:rsidRDefault="00000000">
            <w:pPr>
              <w:rPr>
                <w:b/>
                <w:bCs/>
              </w:rPr>
            </w:pPr>
            <w:r>
              <w:rPr>
                <w:b/>
                <w:bCs/>
              </w:rPr>
              <w:lastRenderedPageBreak/>
              <w:t>Required if applicable</w:t>
            </w:r>
          </w:p>
        </w:tc>
        <w:tc>
          <w:tcPr>
            <w:tcW w:w="7512" w:type="dxa"/>
            <w:tcBorders>
              <w:top w:val="single" w:sz="4" w:space="0" w:color="000000"/>
              <w:left w:val="nil"/>
              <w:bottom w:val="single" w:sz="4" w:space="0" w:color="000000"/>
              <w:right w:val="nil"/>
            </w:tcBorders>
            <w:shd w:val="clear" w:color="auto" w:fill="B4C6E7"/>
          </w:tcPr>
          <w:p w14:paraId="15D5E4A3" w14:textId="77777777" w:rsidR="00BB62F4" w:rsidRDefault="00000000">
            <w:pPr>
              <w:rPr>
                <w:b/>
                <w:bCs/>
              </w:rPr>
            </w:pPr>
            <w:r>
              <w:rPr>
                <w:b/>
                <w:bCs/>
              </w:rPr>
              <w:t>#2.</w:t>
            </w:r>
            <w:proofErr w:type="gramStart"/>
            <w:r>
              <w:rPr>
                <w:b/>
                <w:bCs/>
              </w:rPr>
              <w:t>5.a</w:t>
            </w:r>
            <w:proofErr w:type="gramEnd"/>
            <w:r>
              <w:rPr>
                <w:b/>
                <w:bCs/>
              </w:rPr>
              <w:t xml:space="preserve"> – Guidance on access to disclosure of existing public beneficial ownership information</w:t>
            </w:r>
          </w:p>
        </w:tc>
      </w:tr>
      <w:tr w:rsidR="00BB62F4" w14:paraId="6AA68582" w14:textId="77777777">
        <w:tc>
          <w:tcPr>
            <w:tcW w:w="1668" w:type="dxa"/>
            <w:tcBorders>
              <w:top w:val="single" w:sz="4" w:space="0" w:color="000000"/>
              <w:left w:val="nil"/>
              <w:bottom w:val="single" w:sz="4" w:space="0" w:color="000000"/>
              <w:right w:val="nil"/>
            </w:tcBorders>
          </w:tcPr>
          <w:p w14:paraId="283A12D9" w14:textId="77777777" w:rsidR="00BB62F4" w:rsidRDefault="00000000">
            <w:pPr>
              <w:rPr>
                <w:b/>
                <w:bCs/>
              </w:rPr>
            </w:pPr>
            <w:r>
              <w:rPr>
                <w:i/>
                <w:iCs/>
              </w:rPr>
              <w:t>Availability</w:t>
            </w:r>
          </w:p>
        </w:tc>
        <w:tc>
          <w:tcPr>
            <w:tcW w:w="7512" w:type="dxa"/>
            <w:tcBorders>
              <w:top w:val="single" w:sz="4" w:space="0" w:color="000000"/>
              <w:left w:val="nil"/>
              <w:bottom w:val="single" w:sz="4" w:space="0" w:color="000000"/>
              <w:right w:val="nil"/>
            </w:tcBorders>
          </w:tcPr>
          <w:p w14:paraId="56F1E214" w14:textId="77777777" w:rsidR="00BB62F4" w:rsidRDefault="00000000">
            <w:pPr>
              <w:pBdr>
                <w:top w:val="nil"/>
                <w:left w:val="nil"/>
                <w:bottom w:val="nil"/>
                <w:right w:val="nil"/>
                <w:between w:val="nil"/>
              </w:pBdr>
              <w:shd w:val="clear" w:color="auto" w:fill="FFFFFF"/>
              <w:spacing w:after="0"/>
              <w:rPr>
                <w:b/>
                <w:bCs/>
                <w:color w:val="000000"/>
              </w:rPr>
            </w:pPr>
            <w:r>
              <w:rPr>
                <w:b/>
                <w:bCs/>
                <w:color w:val="000000"/>
                <w:u w:val="single"/>
              </w:rPr>
              <w:t xml:space="preserve">If beneficial ownership information is already available through a publicly available register </w:t>
            </w:r>
            <w:r>
              <w:rPr>
                <w:color w:val="000000"/>
              </w:rPr>
              <w:t xml:space="preserve">(see question above - existing fillings by companies to corporate regulators, stock exchanges or regulatory agencies – see question above) </w:t>
            </w:r>
            <w:r>
              <w:rPr>
                <w:b/>
                <w:bCs/>
                <w:color w:val="000000"/>
              </w:rPr>
              <w:t>does the EITI reporting include guidance on how to access it?</w:t>
            </w:r>
          </w:p>
          <w:p w14:paraId="187AEB8A"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3EAAD18B" w14:textId="77777777" w:rsidR="00BB62F4" w:rsidRDefault="00000000">
            <w:pPr>
              <w:rPr>
                <w:b/>
                <w:bCs/>
              </w:rPr>
            </w:pPr>
            <w:r>
              <w:rPr>
                <w:b/>
                <w:bCs/>
              </w:rPr>
              <w:t>Does that include the name of the stock exchange and a link to the stock exchange filings?</w:t>
            </w:r>
          </w:p>
          <w:p w14:paraId="3A35951E"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34A66EA6" w14:textId="77777777" w:rsidR="00BB62F4" w:rsidRDefault="00BB62F4">
            <w:pPr>
              <w:rPr>
                <w:b/>
                <w:bCs/>
                <w:i/>
                <w:iCs/>
              </w:rPr>
            </w:pPr>
          </w:p>
          <w:p w14:paraId="6FEFAC78" w14:textId="77777777" w:rsidR="00BB62F4" w:rsidRDefault="00000000">
            <w:pPr>
              <w:rPr>
                <w:b/>
                <w:bCs/>
                <w:i/>
                <w:iCs/>
              </w:rPr>
            </w:pPr>
            <w:r>
              <w:rPr>
                <w:b/>
                <w:bCs/>
                <w:i/>
                <w:iCs/>
              </w:rPr>
              <w:t>Provide source(s) where the guidance can be accessed:</w:t>
            </w:r>
          </w:p>
          <w:p w14:paraId="58B87373" w14:textId="77777777" w:rsidR="00BB62F4" w:rsidRDefault="00000000">
            <w:pPr>
              <w:rPr>
                <w:shd w:val="clear" w:color="auto" w:fill="D9E2F3"/>
              </w:rPr>
            </w:pPr>
            <w:r>
              <w:t xml:space="preserve">Systematic disclosures: </w:t>
            </w:r>
            <w:r>
              <w:rPr>
                <w:shd w:val="clear" w:color="auto" w:fill="D9E2F3"/>
              </w:rPr>
              <w:t xml:space="preserve">website www. by the </w:t>
            </w:r>
            <w:hyperlink w:anchor="_heading=h.ceyfom1ili73">
              <w:r>
                <w:rPr>
                  <w:color w:val="0000FF"/>
                  <w:u w:val="single"/>
                  <w:shd w:val="clear" w:color="auto" w:fill="D9E2F3"/>
                </w:rPr>
                <w:t>holders of information</w:t>
              </w:r>
            </w:hyperlink>
            <w:r>
              <w:rPr>
                <w:shd w:val="clear" w:color="auto" w:fill="D9E2F3"/>
              </w:rPr>
              <w:t xml:space="preserve"> or reference to national legislation that defines PEPS and their reporting obligations, where the legal basis exists and serves as basis. </w:t>
            </w:r>
          </w:p>
          <w:p w14:paraId="3731E65C" w14:textId="77777777" w:rsidR="00BB62F4" w:rsidRDefault="00000000">
            <w:pPr>
              <w:numPr>
                <w:ilvl w:val="0"/>
                <w:numId w:val="65"/>
              </w:numPr>
              <w:rPr>
                <w:rFonts w:ascii="EB Garamond" w:eastAsia="EB Garamond" w:hAnsi="EB Garamond" w:cs="EB Garamond"/>
                <w:color w:val="000000"/>
              </w:rPr>
            </w:pPr>
            <w:hyperlink r:id="rId194">
              <w:proofErr w:type="spellStart"/>
              <w:r>
                <w:rPr>
                  <w:rFonts w:ascii="EB Garamond" w:eastAsia="EB Garamond" w:hAnsi="EB Garamond" w:cs="EB Garamond"/>
                  <w:color w:val="1155CC"/>
                  <w:u w:val="single"/>
                </w:rPr>
                <w:t>Nogabor</w:t>
              </w:r>
              <w:proofErr w:type="spellEnd"/>
            </w:hyperlink>
            <w:r>
              <w:rPr>
                <w:rFonts w:ascii="EB Garamond" w:eastAsia="EB Garamond" w:hAnsi="EB Garamond" w:cs="EB Garamond"/>
              </w:rPr>
              <w:t xml:space="preserve"> </w:t>
            </w:r>
          </w:p>
          <w:p w14:paraId="105F1A43" w14:textId="77777777" w:rsidR="00BB62F4" w:rsidRDefault="00BB62F4">
            <w:pPr>
              <w:ind w:left="720"/>
              <w:rPr>
                <w:rFonts w:ascii="EB Garamond" w:eastAsia="EB Garamond" w:hAnsi="EB Garamond" w:cs="EB Garamond"/>
                <w:color w:val="000000"/>
              </w:rPr>
            </w:pPr>
          </w:p>
          <w:p w14:paraId="2B7F30B7" w14:textId="77777777" w:rsidR="00BB62F4" w:rsidRDefault="00BB62F4">
            <w:pPr>
              <w:rPr>
                <w:shd w:val="clear" w:color="auto" w:fill="D9E2F3"/>
              </w:rPr>
            </w:pPr>
          </w:p>
          <w:p w14:paraId="497CB50C" w14:textId="77777777" w:rsidR="00BB62F4" w:rsidRDefault="00000000">
            <w:pPr>
              <w:shd w:val="clear" w:color="auto" w:fill="FFFFFF"/>
            </w:pPr>
            <w:r>
              <w:t>AND / OR</w:t>
            </w:r>
          </w:p>
          <w:p w14:paraId="503A5BA9" w14:textId="77777777" w:rsidR="00BB62F4" w:rsidRDefault="00000000">
            <w:pPr>
              <w:rPr>
                <w:shd w:val="clear" w:color="auto" w:fill="D9E2F3"/>
              </w:rPr>
            </w:pPr>
            <w:r>
              <w:t xml:space="preserve">Other sources: </w:t>
            </w:r>
            <w:r>
              <w:rPr>
                <w:shd w:val="clear" w:color="auto" w:fill="D9E2F3"/>
              </w:rPr>
              <w:t>EITI Report (year and page number), EITI website etc</w:t>
            </w:r>
          </w:p>
          <w:p w14:paraId="69DB351D" w14:textId="77777777" w:rsidR="00BB62F4" w:rsidRDefault="00000000">
            <w:pPr>
              <w:numPr>
                <w:ilvl w:val="0"/>
                <w:numId w:val="66"/>
              </w:numPr>
              <w:rPr>
                <w:rFonts w:ascii="EB Garamond" w:eastAsia="EB Garamond" w:hAnsi="EB Garamond" w:cs="EB Garamond"/>
                <w:color w:val="000000"/>
              </w:rPr>
            </w:pPr>
            <w:r>
              <w:rPr>
                <w:rFonts w:ascii="EB Garamond" w:eastAsia="EB Garamond" w:hAnsi="EB Garamond" w:cs="EB Garamond"/>
                <w:color w:val="000000"/>
              </w:rPr>
              <w:t>NEITI 2023 oil and gas report chapter 2 page 28, and (</w:t>
            </w:r>
            <w:hyperlink r:id="rId195">
              <w:r>
                <w:rPr>
                  <w:rFonts w:ascii="EB Garamond" w:eastAsia="EB Garamond" w:hAnsi="EB Garamond" w:cs="EB Garamond"/>
                  <w:color w:val="1155CC"/>
                  <w:u w:val="single"/>
                </w:rPr>
                <w:t>Contextual Information)</w:t>
              </w:r>
            </w:hyperlink>
          </w:p>
          <w:p w14:paraId="199187C2" w14:textId="77777777" w:rsidR="00BB62F4" w:rsidRDefault="00BB62F4"/>
          <w:p w14:paraId="7F11D85E" w14:textId="77777777" w:rsidR="00BB62F4" w:rsidRDefault="00BB62F4">
            <w:pPr>
              <w:ind w:left="720"/>
              <w:rPr>
                <w:b/>
                <w:bCs/>
              </w:rPr>
            </w:pPr>
          </w:p>
        </w:tc>
      </w:tr>
      <w:tr w:rsidR="00BB62F4" w14:paraId="7FEBC552" w14:textId="77777777">
        <w:tc>
          <w:tcPr>
            <w:tcW w:w="1668" w:type="dxa"/>
            <w:tcBorders>
              <w:top w:val="single" w:sz="4" w:space="0" w:color="000000"/>
              <w:left w:val="nil"/>
              <w:bottom w:val="single" w:sz="4" w:space="0" w:color="000000"/>
              <w:right w:val="nil"/>
            </w:tcBorders>
            <w:shd w:val="clear" w:color="auto" w:fill="B4C6E7"/>
          </w:tcPr>
          <w:p w14:paraId="115CB3B5" w14:textId="77777777" w:rsidR="00BB62F4" w:rsidRDefault="00000000">
            <w:pPr>
              <w:rPr>
                <w:b/>
                <w:bCs/>
              </w:rPr>
            </w:pPr>
            <w:r>
              <w:rPr>
                <w:b/>
                <w:bCs/>
              </w:rPr>
              <w:t>Encouraged</w:t>
            </w:r>
          </w:p>
        </w:tc>
        <w:tc>
          <w:tcPr>
            <w:tcW w:w="7512" w:type="dxa"/>
            <w:tcBorders>
              <w:top w:val="single" w:sz="4" w:space="0" w:color="000000"/>
              <w:left w:val="nil"/>
              <w:bottom w:val="single" w:sz="4" w:space="0" w:color="000000"/>
              <w:right w:val="nil"/>
            </w:tcBorders>
            <w:shd w:val="clear" w:color="auto" w:fill="B4C6E7"/>
          </w:tcPr>
          <w:p w14:paraId="2C66D450" w14:textId="77777777" w:rsidR="00BB62F4" w:rsidRDefault="00000000">
            <w:pPr>
              <w:rPr>
                <w:b/>
                <w:bCs/>
              </w:rPr>
            </w:pPr>
            <w:r>
              <w:rPr>
                <w:b/>
                <w:bCs/>
              </w:rPr>
              <w:t>#2.</w:t>
            </w:r>
            <w:proofErr w:type="gramStart"/>
            <w:r>
              <w:rPr>
                <w:b/>
                <w:bCs/>
              </w:rPr>
              <w:t>5.a</w:t>
            </w:r>
            <w:proofErr w:type="gramEnd"/>
            <w:r>
              <w:rPr>
                <w:b/>
                <w:bCs/>
              </w:rPr>
              <w:t xml:space="preserve"> –Incorporating beneficial ownership in existing company filings</w:t>
            </w:r>
          </w:p>
        </w:tc>
      </w:tr>
      <w:tr w:rsidR="00BB62F4" w14:paraId="54D73811" w14:textId="77777777">
        <w:tc>
          <w:tcPr>
            <w:tcW w:w="1668" w:type="dxa"/>
            <w:tcBorders>
              <w:top w:val="single" w:sz="4" w:space="0" w:color="000000"/>
              <w:left w:val="nil"/>
              <w:bottom w:val="single" w:sz="4" w:space="0" w:color="000000"/>
              <w:right w:val="nil"/>
            </w:tcBorders>
            <w:shd w:val="clear" w:color="auto" w:fill="FFFFFF"/>
          </w:tcPr>
          <w:p w14:paraId="12FDC6D7" w14:textId="77777777" w:rsidR="00BB62F4" w:rsidRDefault="00000000">
            <w:pPr>
              <w:rPr>
                <w:b/>
                <w:bCs/>
              </w:rPr>
            </w:pPr>
            <w:r>
              <w:rPr>
                <w:i/>
                <w:iCs/>
              </w:rPr>
              <w:t>Availability</w:t>
            </w:r>
          </w:p>
        </w:tc>
        <w:tc>
          <w:tcPr>
            <w:tcW w:w="7512" w:type="dxa"/>
            <w:tcBorders>
              <w:top w:val="single" w:sz="4" w:space="0" w:color="000000"/>
              <w:left w:val="nil"/>
              <w:bottom w:val="single" w:sz="4" w:space="0" w:color="000000"/>
              <w:right w:val="nil"/>
            </w:tcBorders>
            <w:shd w:val="clear" w:color="auto" w:fill="FFFFFF"/>
          </w:tcPr>
          <w:p w14:paraId="2CC1D6E3" w14:textId="77777777" w:rsidR="00BB62F4" w:rsidRDefault="00000000">
            <w:pPr>
              <w:rPr>
                <w:b/>
                <w:bCs/>
              </w:rPr>
            </w:pPr>
            <w:r>
              <w:rPr>
                <w:b/>
                <w:bCs/>
              </w:rPr>
              <w:t>Is beneficial ownership information included in existing filings by companies to corporate regulators, stock exchanges or regulatory agencies?</w:t>
            </w:r>
          </w:p>
          <w:p w14:paraId="235D7F75"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4EF7FCC" w14:textId="77777777" w:rsidR="00BB62F4" w:rsidRDefault="00000000">
            <w:pPr>
              <w:rPr>
                <w:shd w:val="clear" w:color="auto" w:fill="D9E2F3"/>
              </w:rPr>
            </w:pPr>
            <w:r>
              <w:t>If not, is there any plans to incorporate beneficial ownership information in the filings?</w:t>
            </w:r>
          </w:p>
          <w:p w14:paraId="03069C37"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2FA39B0F" w14:textId="77777777" w:rsidR="00BB62F4"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D9E2F3"/>
              </w:rPr>
              <w:t xml:space="preserve">If yes, elaborate: </w:t>
            </w:r>
            <w:r>
              <w:rPr>
                <w:rFonts w:ascii="EB Garamond" w:eastAsia="EB Garamond" w:hAnsi="EB Garamond" w:cs="EB Garamond"/>
                <w:color w:val="000000"/>
                <w:shd w:val="clear" w:color="auto" w:fill="D9E2F3"/>
              </w:rPr>
              <w:t> Yes, Beneficial Ownership is included in certain filings by companies in Nigeria as follows;</w:t>
            </w:r>
          </w:p>
          <w:p w14:paraId="32806751" w14:textId="77777777" w:rsidR="00BB62F4" w:rsidRDefault="00000000">
            <w:pPr>
              <w:numPr>
                <w:ilvl w:val="0"/>
                <w:numId w:val="67"/>
              </w:numPr>
              <w:rPr>
                <w:rFonts w:ascii="EB Garamond" w:eastAsia="EB Garamond" w:hAnsi="EB Garamond" w:cs="EB Garamond"/>
                <w:color w:val="000000"/>
              </w:rPr>
            </w:pPr>
            <w:r>
              <w:rPr>
                <w:rFonts w:ascii="EB Garamond" w:eastAsia="EB Garamond" w:hAnsi="EB Garamond" w:cs="EB Garamond"/>
                <w:color w:val="000000"/>
                <w:shd w:val="clear" w:color="auto" w:fill="D9E2F3"/>
              </w:rPr>
              <w:t>CAC- Company and Allied Matters Act (CAMA) 2020 and Persons with Significant Control (PSC) Regulations 2021 as legal basis.</w:t>
            </w:r>
          </w:p>
          <w:p w14:paraId="0308693E" w14:textId="77777777" w:rsidR="00BB62F4" w:rsidRDefault="00000000">
            <w:pPr>
              <w:numPr>
                <w:ilvl w:val="0"/>
                <w:numId w:val="67"/>
              </w:numPr>
              <w:rPr>
                <w:rFonts w:ascii="EB Garamond" w:eastAsia="EB Garamond" w:hAnsi="EB Garamond" w:cs="EB Garamond"/>
                <w:color w:val="000000"/>
              </w:rPr>
            </w:pPr>
            <w:r>
              <w:rPr>
                <w:rFonts w:ascii="EB Garamond" w:eastAsia="EB Garamond" w:hAnsi="EB Garamond" w:cs="EB Garamond"/>
                <w:color w:val="000000"/>
                <w:shd w:val="clear" w:color="auto" w:fill="D9E2F3"/>
              </w:rPr>
              <w:lastRenderedPageBreak/>
              <w:t xml:space="preserve">Nigerian Exchange </w:t>
            </w:r>
            <w:proofErr w:type="gramStart"/>
            <w:r>
              <w:rPr>
                <w:rFonts w:ascii="EB Garamond" w:eastAsia="EB Garamond" w:hAnsi="EB Garamond" w:cs="EB Garamond"/>
                <w:color w:val="000000"/>
                <w:shd w:val="clear" w:color="auto" w:fill="D9E2F3"/>
              </w:rPr>
              <w:t>Limited(</w:t>
            </w:r>
            <w:proofErr w:type="gramEnd"/>
            <w:r>
              <w:rPr>
                <w:rFonts w:ascii="EB Garamond" w:eastAsia="EB Garamond" w:hAnsi="EB Garamond" w:cs="EB Garamond"/>
                <w:color w:val="000000"/>
                <w:shd w:val="clear" w:color="auto" w:fill="D9E2F3"/>
              </w:rPr>
              <w:t>NGX)- Security and Exchange Commission (SEC) Regulations as legal basis.</w:t>
            </w:r>
          </w:p>
          <w:p w14:paraId="74BA28B1" w14:textId="77777777" w:rsidR="00BB62F4" w:rsidRDefault="00000000">
            <w:pPr>
              <w:numPr>
                <w:ilvl w:val="0"/>
                <w:numId w:val="67"/>
              </w:numPr>
              <w:rPr>
                <w:rFonts w:ascii="EB Garamond" w:eastAsia="EB Garamond" w:hAnsi="EB Garamond" w:cs="EB Garamond"/>
                <w:color w:val="000000"/>
              </w:rPr>
            </w:pPr>
            <w:r>
              <w:rPr>
                <w:rFonts w:ascii="EB Garamond" w:eastAsia="EB Garamond" w:hAnsi="EB Garamond" w:cs="EB Garamond"/>
                <w:color w:val="000000"/>
                <w:shd w:val="clear" w:color="auto" w:fill="D9E2F3"/>
              </w:rPr>
              <w:t>Nigerian Upstream Petroleum Regulatory Commission (NUPRC) – Petroleum Industry Act (PIA) 2021; NUPRC License Conditions legal basis.</w:t>
            </w:r>
          </w:p>
          <w:p w14:paraId="24B7FED9" w14:textId="77777777" w:rsidR="00BB62F4" w:rsidRDefault="00000000">
            <w:pPr>
              <w:numPr>
                <w:ilvl w:val="0"/>
                <w:numId w:val="67"/>
              </w:numPr>
              <w:rPr>
                <w:rFonts w:ascii="EB Garamond" w:eastAsia="EB Garamond" w:hAnsi="EB Garamond" w:cs="EB Garamond"/>
                <w:color w:val="000000"/>
              </w:rPr>
            </w:pPr>
            <w:r>
              <w:rPr>
                <w:rFonts w:ascii="EB Garamond" w:eastAsia="EB Garamond" w:hAnsi="EB Garamond" w:cs="EB Garamond"/>
                <w:color w:val="000000"/>
                <w:shd w:val="clear" w:color="auto" w:fill="D9E2F3"/>
              </w:rPr>
              <w:t xml:space="preserve">Nigeria Extractive Industries Transparency Initiative (NEITI) – NEITI Act </w:t>
            </w:r>
            <w:proofErr w:type="gramStart"/>
            <w:r>
              <w:rPr>
                <w:rFonts w:ascii="EB Garamond" w:eastAsia="EB Garamond" w:hAnsi="EB Garamond" w:cs="EB Garamond"/>
                <w:color w:val="000000"/>
                <w:shd w:val="clear" w:color="auto" w:fill="D9E2F3"/>
              </w:rPr>
              <w:t>2007;EITI</w:t>
            </w:r>
            <w:proofErr w:type="gramEnd"/>
            <w:r>
              <w:rPr>
                <w:rFonts w:ascii="EB Garamond" w:eastAsia="EB Garamond" w:hAnsi="EB Garamond" w:cs="EB Garamond"/>
                <w:color w:val="000000"/>
                <w:shd w:val="clear" w:color="auto" w:fill="D9E2F3"/>
              </w:rPr>
              <w:t xml:space="preserve"> Standard (Requirement 2.5) as legal basis.</w:t>
            </w:r>
          </w:p>
          <w:p w14:paraId="41B88EA4" w14:textId="77777777" w:rsidR="00BB62F4" w:rsidRDefault="00BB62F4">
            <w:pPr>
              <w:rPr>
                <w:shd w:val="clear" w:color="auto" w:fill="D9E2F3"/>
              </w:rPr>
            </w:pPr>
          </w:p>
          <w:p w14:paraId="6045122D" w14:textId="77777777" w:rsidR="00BB62F4" w:rsidRDefault="00BB62F4">
            <w:pPr>
              <w:rPr>
                <w:b/>
                <w:bCs/>
              </w:rPr>
            </w:pPr>
          </w:p>
        </w:tc>
      </w:tr>
      <w:tr w:rsidR="00BB62F4" w14:paraId="41B1E1BF" w14:textId="77777777">
        <w:tc>
          <w:tcPr>
            <w:tcW w:w="1668" w:type="dxa"/>
            <w:tcBorders>
              <w:top w:val="single" w:sz="4" w:space="0" w:color="000000"/>
              <w:left w:val="nil"/>
              <w:bottom w:val="single" w:sz="4" w:space="0" w:color="000000"/>
              <w:right w:val="nil"/>
            </w:tcBorders>
            <w:shd w:val="clear" w:color="auto" w:fill="B4C6E7"/>
          </w:tcPr>
          <w:p w14:paraId="5F8EB758" w14:textId="77777777" w:rsidR="00BB62F4" w:rsidRDefault="00000000">
            <w:pPr>
              <w:rPr>
                <w:i/>
                <w:iCs/>
              </w:rPr>
            </w:pPr>
            <w:r>
              <w:rPr>
                <w:b/>
                <w:bCs/>
              </w:rPr>
              <w:lastRenderedPageBreak/>
              <w:t>Encouraged</w:t>
            </w:r>
          </w:p>
        </w:tc>
        <w:tc>
          <w:tcPr>
            <w:tcW w:w="7512" w:type="dxa"/>
            <w:tcBorders>
              <w:top w:val="single" w:sz="4" w:space="0" w:color="000000"/>
              <w:left w:val="nil"/>
              <w:bottom w:val="single" w:sz="4" w:space="0" w:color="000000"/>
              <w:right w:val="nil"/>
            </w:tcBorders>
            <w:shd w:val="clear" w:color="auto" w:fill="B4C6E7"/>
          </w:tcPr>
          <w:p w14:paraId="011C9CA4" w14:textId="77777777" w:rsidR="00BB62F4" w:rsidRDefault="00000000">
            <w:pPr>
              <w:rPr>
                <w:b/>
                <w:bCs/>
              </w:rPr>
            </w:pPr>
            <w:r>
              <w:rPr>
                <w:b/>
                <w:bCs/>
              </w:rPr>
              <w:t>#2.5.</w:t>
            </w:r>
            <w:proofErr w:type="gramStart"/>
            <w:r>
              <w:rPr>
                <w:b/>
                <w:bCs/>
              </w:rPr>
              <w:t>f.ii</w:t>
            </w:r>
            <w:proofErr w:type="gramEnd"/>
            <w:r>
              <w:rPr>
                <w:b/>
                <w:bCs/>
              </w:rPr>
              <w:t xml:space="preserve"> – 10% Threshold</w:t>
            </w:r>
          </w:p>
        </w:tc>
      </w:tr>
      <w:tr w:rsidR="00BB62F4" w14:paraId="4371D09A" w14:textId="77777777">
        <w:tc>
          <w:tcPr>
            <w:tcW w:w="1668" w:type="dxa"/>
            <w:tcBorders>
              <w:top w:val="single" w:sz="4" w:space="0" w:color="000000"/>
              <w:left w:val="nil"/>
              <w:bottom w:val="single" w:sz="4" w:space="0" w:color="000000"/>
              <w:right w:val="nil"/>
            </w:tcBorders>
            <w:shd w:val="clear" w:color="auto" w:fill="FFFFFF"/>
          </w:tcPr>
          <w:p w14:paraId="602E2FA2" w14:textId="77777777" w:rsidR="00BB62F4" w:rsidRDefault="00000000">
            <w:pPr>
              <w:rPr>
                <w:i/>
                <w:iCs/>
              </w:rPr>
            </w:pPr>
            <w:r>
              <w:rPr>
                <w:i/>
                <w:iCs/>
              </w:rPr>
              <w:t>Applicability</w:t>
            </w:r>
          </w:p>
        </w:tc>
        <w:tc>
          <w:tcPr>
            <w:tcW w:w="7512" w:type="dxa"/>
            <w:tcBorders>
              <w:top w:val="single" w:sz="4" w:space="0" w:color="000000"/>
              <w:left w:val="nil"/>
              <w:bottom w:val="single" w:sz="4" w:space="0" w:color="000000"/>
              <w:right w:val="nil"/>
            </w:tcBorders>
            <w:shd w:val="clear" w:color="auto" w:fill="FFFFFF"/>
          </w:tcPr>
          <w:p w14:paraId="66E63796" w14:textId="77777777" w:rsidR="00BB62F4" w:rsidRDefault="00000000">
            <w:pPr>
              <w:rPr>
                <w:b/>
                <w:bCs/>
              </w:rPr>
            </w:pPr>
            <w:r>
              <w:rPr>
                <w:b/>
                <w:bCs/>
              </w:rPr>
              <w:t>Has your country adopted a threshold of 10% or lower?</w:t>
            </w:r>
          </w:p>
          <w:p w14:paraId="28EF5840"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0119522A" w14:textId="77777777" w:rsidR="00BB62F4" w:rsidRDefault="00000000">
            <w:pPr>
              <w:rPr>
                <w:b/>
                <w:bCs/>
              </w:rPr>
            </w:pPr>
            <w:r>
              <w:rPr>
                <w:i/>
                <w:iCs/>
                <w:shd w:val="clear" w:color="auto" w:fill="D9E2F3"/>
              </w:rPr>
              <w:t xml:space="preserve">Adopted threshold and rationale for the threshold: you may also refer to </w:t>
            </w:r>
            <w:proofErr w:type="gramStart"/>
            <w:r>
              <w:rPr>
                <w:i/>
                <w:iCs/>
                <w:shd w:val="clear" w:color="auto" w:fill="D9E2F3"/>
              </w:rPr>
              <w:t>documentation ,</w:t>
            </w:r>
            <w:proofErr w:type="gramEnd"/>
            <w:r>
              <w:rPr>
                <w:i/>
                <w:iCs/>
                <w:shd w:val="clear" w:color="auto" w:fill="D9E2F3"/>
              </w:rPr>
              <w:t xml:space="preserve"> </w:t>
            </w:r>
            <w:proofErr w:type="spellStart"/>
            <w:r>
              <w:rPr>
                <w:i/>
                <w:iCs/>
                <w:shd w:val="clear" w:color="auto" w:fill="D9E2F3"/>
              </w:rPr>
              <w:t>ie</w:t>
            </w:r>
            <w:proofErr w:type="spellEnd"/>
            <w:r>
              <w:rPr>
                <w:i/>
                <w:iCs/>
                <w:shd w:val="clear" w:color="auto" w:fill="D9E2F3"/>
              </w:rPr>
              <w:t xml:space="preserve"> MSG meeting minutes </w:t>
            </w:r>
          </w:p>
        </w:tc>
      </w:tr>
      <w:tr w:rsidR="00BB62F4" w14:paraId="2B31B8C7" w14:textId="77777777">
        <w:tc>
          <w:tcPr>
            <w:tcW w:w="1668" w:type="dxa"/>
            <w:tcBorders>
              <w:top w:val="single" w:sz="4" w:space="0" w:color="000000"/>
              <w:left w:val="nil"/>
              <w:bottom w:val="single" w:sz="4" w:space="0" w:color="000000"/>
              <w:right w:val="nil"/>
            </w:tcBorders>
            <w:shd w:val="clear" w:color="auto" w:fill="B4C6E7"/>
          </w:tcPr>
          <w:p w14:paraId="005C7865" w14:textId="77777777" w:rsidR="00BB62F4" w:rsidRDefault="00000000">
            <w:pPr>
              <w:rPr>
                <w:i/>
                <w:iCs/>
              </w:rPr>
            </w:pPr>
            <w:r>
              <w:rPr>
                <w:b/>
                <w:bCs/>
              </w:rPr>
              <w:t>Encouraged</w:t>
            </w:r>
          </w:p>
        </w:tc>
        <w:tc>
          <w:tcPr>
            <w:tcW w:w="7512" w:type="dxa"/>
            <w:tcBorders>
              <w:top w:val="single" w:sz="4" w:space="0" w:color="000000"/>
              <w:left w:val="nil"/>
              <w:bottom w:val="single" w:sz="4" w:space="0" w:color="000000"/>
              <w:right w:val="nil"/>
            </w:tcBorders>
            <w:shd w:val="clear" w:color="auto" w:fill="B4C6E7"/>
          </w:tcPr>
          <w:p w14:paraId="76836E77" w14:textId="77777777" w:rsidR="00BB62F4" w:rsidRDefault="00000000">
            <w:pPr>
              <w:rPr>
                <w:b/>
                <w:bCs/>
              </w:rPr>
            </w:pPr>
            <w:r>
              <w:rPr>
                <w:b/>
                <w:bCs/>
              </w:rPr>
              <w:t>#2.</w:t>
            </w:r>
            <w:proofErr w:type="gramStart"/>
            <w:r>
              <w:rPr>
                <w:b/>
                <w:bCs/>
              </w:rPr>
              <w:t>5.d</w:t>
            </w:r>
            <w:proofErr w:type="gramEnd"/>
            <w:r>
              <w:rPr>
                <w:b/>
                <w:bCs/>
              </w:rPr>
              <w:t xml:space="preserve"> – additional information on the beneficial owners</w:t>
            </w:r>
          </w:p>
        </w:tc>
      </w:tr>
      <w:tr w:rsidR="00BB62F4" w14:paraId="62B5D37D" w14:textId="77777777">
        <w:tc>
          <w:tcPr>
            <w:tcW w:w="1668" w:type="dxa"/>
            <w:tcBorders>
              <w:top w:val="single" w:sz="4" w:space="0" w:color="000000"/>
              <w:left w:val="nil"/>
              <w:bottom w:val="single" w:sz="4" w:space="0" w:color="000000"/>
              <w:right w:val="nil"/>
            </w:tcBorders>
            <w:shd w:val="clear" w:color="auto" w:fill="FFFFFF"/>
          </w:tcPr>
          <w:p w14:paraId="2D8A8196" w14:textId="77777777" w:rsidR="00BB62F4" w:rsidRDefault="00000000">
            <w:pPr>
              <w:rPr>
                <w:i/>
                <w:iCs/>
              </w:rPr>
            </w:pPr>
            <w:r>
              <w:rPr>
                <w:i/>
                <w:iCs/>
              </w:rPr>
              <w:t>Availability</w:t>
            </w:r>
          </w:p>
        </w:tc>
        <w:tc>
          <w:tcPr>
            <w:tcW w:w="7512" w:type="dxa"/>
            <w:tcBorders>
              <w:top w:val="single" w:sz="4" w:space="0" w:color="000000"/>
              <w:left w:val="nil"/>
              <w:bottom w:val="single" w:sz="4" w:space="0" w:color="000000"/>
              <w:right w:val="nil"/>
            </w:tcBorders>
            <w:shd w:val="clear" w:color="auto" w:fill="FFFFFF"/>
          </w:tcPr>
          <w:p w14:paraId="359A226C" w14:textId="77777777" w:rsidR="00BB62F4" w:rsidRDefault="00000000">
            <w:pPr>
              <w:rPr>
                <w:b/>
                <w:bCs/>
              </w:rPr>
            </w:pPr>
            <w:r>
              <w:rPr>
                <w:b/>
                <w:bCs/>
              </w:rPr>
              <w:t>Does the information about the beneficial owner include:</w:t>
            </w:r>
          </w:p>
          <w:p w14:paraId="75275549" w14:textId="77777777" w:rsidR="00BB62F4" w:rsidRDefault="00000000">
            <w:pPr>
              <w:numPr>
                <w:ilvl w:val="0"/>
                <w:numId w:val="6"/>
              </w:numPr>
              <w:pBdr>
                <w:top w:val="nil"/>
                <w:left w:val="nil"/>
                <w:bottom w:val="nil"/>
                <w:right w:val="nil"/>
                <w:between w:val="nil"/>
              </w:pBdr>
              <w:rPr>
                <w:b/>
                <w:bCs/>
                <w:color w:val="000000"/>
              </w:rPr>
            </w:pPr>
            <w:r>
              <w:rPr>
                <w:color w:val="000000"/>
              </w:rPr>
              <w:t>National identity number</w:t>
            </w:r>
          </w:p>
          <w:p w14:paraId="00FFB960" w14:textId="77777777" w:rsidR="00BB62F4" w:rsidRDefault="00000000">
            <w:pPr>
              <w:pBdr>
                <w:top w:val="nil"/>
                <w:left w:val="nil"/>
                <w:bottom w:val="nil"/>
                <w:right w:val="nil"/>
                <w:between w:val="nil"/>
              </w:pBdr>
              <w:ind w:left="720"/>
              <w:rPr>
                <w:b/>
                <w:bCs/>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shd w:val="clear" w:color="auto" w:fill="D9E2F3"/>
              </w:rPr>
              <w:t>No</w:t>
            </w:r>
          </w:p>
          <w:p w14:paraId="6D77420F" w14:textId="77777777" w:rsidR="00BB62F4" w:rsidRDefault="00000000">
            <w:pPr>
              <w:numPr>
                <w:ilvl w:val="0"/>
                <w:numId w:val="6"/>
              </w:numPr>
              <w:pBdr>
                <w:top w:val="nil"/>
                <w:left w:val="nil"/>
                <w:bottom w:val="nil"/>
                <w:right w:val="nil"/>
                <w:between w:val="nil"/>
              </w:pBdr>
              <w:rPr>
                <w:color w:val="000000"/>
              </w:rPr>
            </w:pPr>
            <w:r>
              <w:rPr>
                <w:color w:val="000000"/>
              </w:rPr>
              <w:t>Date of birth</w:t>
            </w:r>
          </w:p>
          <w:p w14:paraId="132E1D68" w14:textId="77777777" w:rsidR="00BB62F4" w:rsidRDefault="00000000">
            <w:pPr>
              <w:pBdr>
                <w:top w:val="nil"/>
                <w:left w:val="nil"/>
                <w:bottom w:val="nil"/>
                <w:right w:val="nil"/>
                <w:between w:val="nil"/>
              </w:pBdr>
              <w:ind w:left="720"/>
              <w:rPr>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shd w:val="clear" w:color="auto" w:fill="D9E2F3"/>
              </w:rPr>
              <w:t>No</w:t>
            </w:r>
          </w:p>
          <w:p w14:paraId="6B2AE9A2" w14:textId="77777777" w:rsidR="00BB62F4" w:rsidRDefault="00000000">
            <w:pPr>
              <w:numPr>
                <w:ilvl w:val="0"/>
                <w:numId w:val="6"/>
              </w:numPr>
              <w:pBdr>
                <w:top w:val="nil"/>
                <w:left w:val="nil"/>
                <w:bottom w:val="nil"/>
                <w:right w:val="nil"/>
                <w:between w:val="nil"/>
              </w:pBdr>
              <w:rPr>
                <w:b/>
                <w:bCs/>
                <w:color w:val="000000"/>
              </w:rPr>
            </w:pPr>
            <w:r>
              <w:rPr>
                <w:color w:val="000000"/>
              </w:rPr>
              <w:t>Residential or service address</w:t>
            </w:r>
          </w:p>
          <w:p w14:paraId="6851D74C" w14:textId="77777777" w:rsidR="00BB62F4" w:rsidRDefault="00000000">
            <w:pPr>
              <w:pBdr>
                <w:top w:val="nil"/>
                <w:left w:val="nil"/>
                <w:bottom w:val="nil"/>
                <w:right w:val="nil"/>
                <w:between w:val="nil"/>
              </w:pBdr>
              <w:ind w:left="720"/>
              <w:rPr>
                <w:b/>
                <w:bCs/>
                <w:color w:val="000000"/>
              </w:rPr>
            </w:pPr>
            <w:r>
              <w:rPr>
                <w:rFonts w:ascii="MS Gothic" w:eastAsia="MS Gothic" w:hAnsi="MS Gothic" w:cs="MS Gothic"/>
                <w:color w:val="000000"/>
              </w:rPr>
              <w:t>☒</w:t>
            </w:r>
            <w:r>
              <w:rPr>
                <w:color w:val="000000"/>
              </w:rPr>
              <w:t xml:space="preserve"> </w:t>
            </w:r>
            <w:r>
              <w:rPr>
                <w:color w:val="000000"/>
                <w:shd w:val="clear" w:color="auto" w:fill="D9E2F3"/>
              </w:rPr>
              <w:t>Yes</w:t>
            </w:r>
            <w:r>
              <w:rPr>
                <w:color w:val="000000"/>
              </w:rPr>
              <w:t xml:space="preserve">           </w:t>
            </w:r>
            <w:r>
              <w:rPr>
                <w:rFonts w:ascii="MS Gothic" w:eastAsia="MS Gothic" w:hAnsi="MS Gothic" w:cs="MS Gothic"/>
                <w:color w:val="000000"/>
              </w:rPr>
              <w:t>☐</w:t>
            </w:r>
            <w:r>
              <w:rPr>
                <w:color w:val="000000"/>
                <w:shd w:val="clear" w:color="auto" w:fill="D9E2F3"/>
              </w:rPr>
              <w:t>No</w:t>
            </w:r>
          </w:p>
          <w:p w14:paraId="26BD6ABC" w14:textId="77777777" w:rsidR="00BB62F4" w:rsidRDefault="00000000">
            <w:pPr>
              <w:numPr>
                <w:ilvl w:val="0"/>
                <w:numId w:val="6"/>
              </w:numPr>
              <w:pBdr>
                <w:top w:val="nil"/>
                <w:left w:val="nil"/>
                <w:bottom w:val="nil"/>
                <w:right w:val="nil"/>
                <w:between w:val="nil"/>
              </w:pBdr>
              <w:rPr>
                <w:b/>
                <w:bCs/>
                <w:color w:val="000000"/>
              </w:rPr>
            </w:pPr>
            <w:r>
              <w:rPr>
                <w:color w:val="000000"/>
              </w:rPr>
              <w:t>Contact information</w:t>
            </w:r>
          </w:p>
          <w:p w14:paraId="4BB465E5" w14:textId="77777777" w:rsidR="00BB62F4" w:rsidRDefault="00000000">
            <w:pPr>
              <w:ind w:left="745"/>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tc>
      </w:tr>
      <w:tr w:rsidR="00BB62F4" w14:paraId="1A3D10B8" w14:textId="77777777">
        <w:tc>
          <w:tcPr>
            <w:tcW w:w="1668" w:type="dxa"/>
            <w:tcBorders>
              <w:top w:val="single" w:sz="4" w:space="0" w:color="000000"/>
              <w:left w:val="nil"/>
              <w:bottom w:val="single" w:sz="4" w:space="0" w:color="000000"/>
              <w:right w:val="nil"/>
            </w:tcBorders>
            <w:shd w:val="clear" w:color="auto" w:fill="B4C6E7"/>
          </w:tcPr>
          <w:p w14:paraId="747F3F52" w14:textId="77777777" w:rsidR="00BB62F4" w:rsidRDefault="00000000">
            <w:pPr>
              <w:rPr>
                <w:i/>
                <w:iCs/>
              </w:rPr>
            </w:pPr>
            <w:r>
              <w:rPr>
                <w:b/>
                <w:bCs/>
              </w:rPr>
              <w:t>Encouraged</w:t>
            </w:r>
          </w:p>
        </w:tc>
        <w:tc>
          <w:tcPr>
            <w:tcW w:w="7512" w:type="dxa"/>
            <w:tcBorders>
              <w:top w:val="single" w:sz="4" w:space="0" w:color="000000"/>
              <w:left w:val="nil"/>
              <w:bottom w:val="single" w:sz="4" w:space="0" w:color="000000"/>
              <w:right w:val="nil"/>
            </w:tcBorders>
            <w:shd w:val="clear" w:color="auto" w:fill="B4C6E7"/>
          </w:tcPr>
          <w:p w14:paraId="50AD0F9E" w14:textId="77777777" w:rsidR="00BB62F4" w:rsidRDefault="00000000">
            <w:pPr>
              <w:rPr>
                <w:b/>
                <w:bCs/>
              </w:rPr>
            </w:pPr>
            <w:r>
              <w:rPr>
                <w:b/>
                <w:bCs/>
              </w:rPr>
              <w:t>#2.</w:t>
            </w:r>
            <w:proofErr w:type="gramStart"/>
            <w:r>
              <w:rPr>
                <w:b/>
                <w:bCs/>
              </w:rPr>
              <w:t>5.g</w:t>
            </w:r>
            <w:proofErr w:type="gramEnd"/>
            <w:r>
              <w:rPr>
                <w:b/>
                <w:bCs/>
              </w:rPr>
              <w:t xml:space="preserve"> </w:t>
            </w:r>
            <w:proofErr w:type="gramStart"/>
            <w:r>
              <w:rPr>
                <w:b/>
                <w:bCs/>
              </w:rPr>
              <w:t>-  Ownership</w:t>
            </w:r>
            <w:proofErr w:type="gramEnd"/>
            <w:r>
              <w:rPr>
                <w:b/>
                <w:bCs/>
              </w:rPr>
              <w:t xml:space="preserve"> structure</w:t>
            </w:r>
          </w:p>
        </w:tc>
      </w:tr>
      <w:tr w:rsidR="00BB62F4" w14:paraId="7F2C2D26" w14:textId="77777777">
        <w:tc>
          <w:tcPr>
            <w:tcW w:w="1668" w:type="dxa"/>
            <w:tcBorders>
              <w:top w:val="single" w:sz="4" w:space="0" w:color="000000"/>
              <w:left w:val="nil"/>
              <w:bottom w:val="single" w:sz="4" w:space="0" w:color="000000"/>
              <w:right w:val="nil"/>
            </w:tcBorders>
            <w:shd w:val="clear" w:color="auto" w:fill="FFFFFF"/>
          </w:tcPr>
          <w:p w14:paraId="33B72109" w14:textId="77777777" w:rsidR="00BB62F4" w:rsidRDefault="00000000">
            <w:pPr>
              <w:rPr>
                <w:i/>
                <w:iCs/>
              </w:rPr>
            </w:pPr>
            <w:r>
              <w:rPr>
                <w:i/>
                <w:iCs/>
              </w:rPr>
              <w:t>Availability</w:t>
            </w:r>
          </w:p>
        </w:tc>
        <w:tc>
          <w:tcPr>
            <w:tcW w:w="7512" w:type="dxa"/>
            <w:tcBorders>
              <w:top w:val="single" w:sz="4" w:space="0" w:color="000000"/>
              <w:left w:val="nil"/>
              <w:bottom w:val="single" w:sz="4" w:space="0" w:color="000000"/>
              <w:right w:val="nil"/>
            </w:tcBorders>
            <w:shd w:val="clear" w:color="auto" w:fill="FFFFFF"/>
          </w:tcPr>
          <w:p w14:paraId="137B26F8" w14:textId="77777777" w:rsidR="00BB62F4" w:rsidRDefault="00000000">
            <w:pPr>
              <w:rPr>
                <w:b/>
                <w:bCs/>
              </w:rPr>
            </w:pPr>
            <w:r>
              <w:rPr>
                <w:b/>
                <w:bCs/>
              </w:rPr>
              <w:t>Have companies disclosed their ownership structure?</w:t>
            </w:r>
          </w:p>
          <w:p w14:paraId="7692C39E" w14:textId="77777777" w:rsidR="00BB62F4" w:rsidRDefault="00000000">
            <w:pPr>
              <w:rPr>
                <w:b/>
                <w:bCs/>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77678832" w14:textId="77777777" w:rsidR="00BB62F4" w:rsidRDefault="00000000">
            <w:pPr>
              <w:rPr>
                <w:b/>
                <w:bCs/>
              </w:rPr>
            </w:pPr>
            <w:r>
              <w:rPr>
                <w:b/>
                <w:bCs/>
              </w:rPr>
              <w:t>Does that include the full chain of legal entities leading to the beneficial owner?</w:t>
            </w:r>
          </w:p>
          <w:p w14:paraId="59E0D37C" w14:textId="77777777" w:rsidR="00BB62F4" w:rsidRDefault="00000000">
            <w:pP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211E167D" w14:textId="77777777" w:rsidR="00BB62F4" w:rsidRDefault="00BB62F4">
            <w:pPr>
              <w:rPr>
                <w:b/>
                <w:bCs/>
              </w:rPr>
            </w:pPr>
          </w:p>
          <w:p w14:paraId="1A51761B" w14:textId="77777777" w:rsidR="00BB62F4" w:rsidRDefault="00000000">
            <w:pPr>
              <w:rPr>
                <w:b/>
                <w:bCs/>
              </w:rPr>
            </w:pPr>
            <w:r>
              <w:rPr>
                <w:b/>
                <w:bCs/>
              </w:rPr>
              <w:t>Where can the company structures be found?</w:t>
            </w:r>
          </w:p>
          <w:p w14:paraId="422CA23B" w14:textId="77777777" w:rsidR="00BB62F4" w:rsidRDefault="00000000">
            <w:pPr>
              <w:pBdr>
                <w:top w:val="nil"/>
                <w:left w:val="nil"/>
                <w:bottom w:val="nil"/>
                <w:right w:val="nil"/>
                <w:between w:val="nil"/>
              </w:pBdr>
              <w:shd w:val="clear" w:color="auto" w:fill="FFFFFF"/>
              <w:ind w:left="33"/>
              <w:rPr>
                <w:color w:val="000000"/>
              </w:rPr>
            </w:pPr>
            <w:r>
              <w:rPr>
                <w:color w:val="000000"/>
              </w:rPr>
              <w:t xml:space="preserve">Systematic disclosures: </w:t>
            </w:r>
            <w:r>
              <w:rPr>
                <w:color w:val="000000"/>
                <w:shd w:val="clear" w:color="auto" w:fill="D9E2F3"/>
              </w:rPr>
              <w:t xml:space="preserve">corporate filings, beneficial ownership registry, typically by the </w:t>
            </w:r>
            <w:hyperlink w:anchor="_heading=h.ceyfom1ili73">
              <w:r>
                <w:rPr>
                  <w:color w:val="0000FF"/>
                  <w:u w:val="single"/>
                  <w:shd w:val="clear" w:color="auto" w:fill="D9E2F3"/>
                </w:rPr>
                <w:t>holders of information</w:t>
              </w:r>
            </w:hyperlink>
          </w:p>
          <w:p w14:paraId="455882A8" w14:textId="77777777" w:rsidR="00BB62F4" w:rsidRDefault="00000000">
            <w:pPr>
              <w:pBdr>
                <w:top w:val="nil"/>
                <w:left w:val="nil"/>
                <w:bottom w:val="nil"/>
                <w:right w:val="nil"/>
                <w:between w:val="nil"/>
              </w:pBdr>
              <w:shd w:val="clear" w:color="auto" w:fill="FFFFFF"/>
              <w:ind w:left="33"/>
              <w:rPr>
                <w:color w:val="000000"/>
              </w:rPr>
            </w:pPr>
            <w:r>
              <w:rPr>
                <w:color w:val="000000"/>
              </w:rPr>
              <w:t>AND / OR</w:t>
            </w:r>
          </w:p>
          <w:p w14:paraId="6F993CF9" w14:textId="77777777" w:rsidR="00BB62F4" w:rsidRDefault="00000000">
            <w:pPr>
              <w:rPr>
                <w:shd w:val="clear" w:color="auto" w:fill="D9E2F3"/>
              </w:rPr>
            </w:pPr>
            <w:r>
              <w:t xml:space="preserve">Other sources: </w:t>
            </w:r>
            <w:r>
              <w:rPr>
                <w:shd w:val="clear" w:color="auto" w:fill="D9E2F3"/>
              </w:rPr>
              <w:t>EITI Report (year and page number), EITI hosted website, etc</w:t>
            </w:r>
          </w:p>
          <w:p w14:paraId="64C50368" w14:textId="77777777" w:rsidR="00BB62F4" w:rsidRDefault="00000000">
            <w:pPr>
              <w:numPr>
                <w:ilvl w:val="0"/>
                <w:numId w:val="32"/>
              </w:numPr>
              <w:pBdr>
                <w:top w:val="nil"/>
                <w:left w:val="nil"/>
                <w:bottom w:val="nil"/>
                <w:right w:val="nil"/>
                <w:between w:val="nil"/>
              </w:pBdr>
              <w:rPr>
                <w:color w:val="808080"/>
              </w:rPr>
            </w:pPr>
            <w:hyperlink r:id="rId196">
              <w:r>
                <w:rPr>
                  <w:color w:val="1155CC"/>
                  <w:u w:val="single"/>
                </w:rPr>
                <w:t>NEITI-OGA-2023-AUDIT-REPORT.pdf</w:t>
              </w:r>
            </w:hyperlink>
            <w:r>
              <w:rPr>
                <w:color w:val="808080"/>
              </w:rPr>
              <w:t xml:space="preserve"> , CHAPTER 2, PAGE 28</w:t>
            </w:r>
          </w:p>
          <w:p w14:paraId="75209CCC" w14:textId="77777777" w:rsidR="00BB62F4" w:rsidRDefault="00BB62F4">
            <w:pPr>
              <w:rPr>
                <w:b/>
                <w:bCs/>
              </w:rPr>
            </w:pPr>
          </w:p>
        </w:tc>
      </w:tr>
      <w:tr w:rsidR="00BB62F4" w14:paraId="67F4E861" w14:textId="77777777">
        <w:tc>
          <w:tcPr>
            <w:tcW w:w="1668" w:type="dxa"/>
            <w:tcBorders>
              <w:top w:val="single" w:sz="4" w:space="0" w:color="000000"/>
              <w:left w:val="nil"/>
              <w:bottom w:val="nil"/>
              <w:right w:val="nil"/>
            </w:tcBorders>
            <w:shd w:val="clear" w:color="auto" w:fill="FFFFFF"/>
          </w:tcPr>
          <w:p w14:paraId="5CCD1280" w14:textId="77777777" w:rsidR="00BB62F4" w:rsidRDefault="00BB62F4">
            <w:pPr>
              <w:rPr>
                <w:i/>
                <w:iCs/>
              </w:rPr>
            </w:pPr>
          </w:p>
        </w:tc>
        <w:tc>
          <w:tcPr>
            <w:tcW w:w="7512" w:type="dxa"/>
            <w:tcBorders>
              <w:top w:val="single" w:sz="4" w:space="0" w:color="000000"/>
              <w:left w:val="nil"/>
              <w:bottom w:val="nil"/>
              <w:right w:val="nil"/>
            </w:tcBorders>
            <w:shd w:val="clear" w:color="auto" w:fill="FFFFFF"/>
          </w:tcPr>
          <w:p w14:paraId="424B908A" w14:textId="77777777" w:rsidR="00BB62F4" w:rsidRDefault="00BB62F4">
            <w:pPr>
              <w:rPr>
                <w:b/>
                <w:bCs/>
              </w:rPr>
            </w:pPr>
          </w:p>
        </w:tc>
      </w:tr>
    </w:tbl>
    <w:p w14:paraId="3983C0CF" w14:textId="77777777" w:rsidR="00BB62F4" w:rsidRDefault="00000000">
      <w:r>
        <w:rPr>
          <w:b/>
          <w:bCs/>
        </w:rPr>
        <w:t xml:space="preserve">Additional comments and observations on this requirement, including any possible gaps, barriers to disclosures and how stakeholders (MSG, government, companies) are addressing those </w:t>
      </w:r>
    </w:p>
    <w:tbl>
      <w:tblPr>
        <w:tblStyle w:val="af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273397DF" w14:textId="77777777">
        <w:tc>
          <w:tcPr>
            <w:tcW w:w="9062" w:type="dxa"/>
          </w:tcPr>
          <w:p w14:paraId="0E888A70" w14:textId="77777777" w:rsidR="00BB62F4" w:rsidRDefault="00000000">
            <w:pPr>
              <w:rPr>
                <w:i/>
                <w:iCs/>
              </w:rPr>
            </w:pPr>
            <w:r>
              <w:rPr>
                <w:i/>
                <w:iCs/>
                <w:shd w:val="clear" w:color="auto" w:fill="D9E2F3"/>
              </w:rPr>
              <w:t>Add any further comments</w:t>
            </w:r>
            <w:r>
              <w:rPr>
                <w:i/>
                <w:iCs/>
              </w:rPr>
              <w:t xml:space="preserve">: </w:t>
            </w:r>
          </w:p>
        </w:tc>
      </w:tr>
    </w:tbl>
    <w:p w14:paraId="01560DCC" w14:textId="77777777" w:rsidR="00BB62F4" w:rsidRDefault="00BB62F4"/>
    <w:p w14:paraId="5D5BFF09" w14:textId="77777777" w:rsidR="00BB62F4" w:rsidRDefault="00000000">
      <w:pPr>
        <w:pStyle w:val="Heading3"/>
      </w:pPr>
      <w:bookmarkStart w:id="38" w:name="_heading=h.479i6v7e38vh" w:colFirst="0" w:colLast="0"/>
      <w:bookmarkEnd w:id="38"/>
      <w:r>
        <w:t xml:space="preserve">Underlying objective </w:t>
      </w:r>
    </w:p>
    <w:p w14:paraId="2D53D164" w14:textId="77777777" w:rsidR="00BB62F4" w:rsidRDefault="00000000">
      <w:r>
        <w:t>The objective of this requirement is to enable the public to know who ultimately owns and controls the companies operating in the country’s extractive industries, particularly those identified by the multi-stakeholder group as high-risk, to help deter improper and corrupt practices in the management of extractive resources and to help monitor the ownership of politically exposed persons.</w:t>
      </w:r>
    </w:p>
    <w:p w14:paraId="0394B576" w14:textId="77777777" w:rsidR="00BB62F4" w:rsidRDefault="00000000">
      <w:pPr>
        <w:rPr>
          <w:b/>
          <w:bCs/>
        </w:rPr>
      </w:pPr>
      <w:r>
        <w:rPr>
          <w:b/>
          <w:bCs/>
        </w:rPr>
        <w:t>Gathering of information</w:t>
      </w:r>
    </w:p>
    <w:p w14:paraId="7B0211F5" w14:textId="77777777" w:rsidR="00BB62F4" w:rsidRDefault="00000000">
      <w:pPr>
        <w:numPr>
          <w:ilvl w:val="0"/>
          <w:numId w:val="4"/>
        </w:numPr>
        <w:pBdr>
          <w:top w:val="nil"/>
          <w:left w:val="nil"/>
          <w:bottom w:val="nil"/>
          <w:right w:val="nil"/>
          <w:between w:val="nil"/>
        </w:pBdr>
        <w:rPr>
          <w:color w:val="000000"/>
        </w:rPr>
      </w:pPr>
      <w:r>
        <w:rPr>
          <w:color w:val="000000"/>
        </w:rPr>
        <w:t>Has the MSG encountered any particular obstacles or reluctance to disclose beneficial ownership information? If yes, what strategy has been adopted to overcome them?</w:t>
      </w:r>
    </w:p>
    <w:p w14:paraId="1977D6A6" w14:textId="77777777" w:rsidR="00BB62F4" w:rsidRDefault="00000000">
      <w:pPr>
        <w:pBdr>
          <w:top w:val="single" w:sz="4" w:space="1" w:color="000000"/>
          <w:left w:val="single" w:sz="4" w:space="4" w:color="000000"/>
          <w:bottom w:val="single" w:sz="4" w:space="1" w:color="000000"/>
          <w:right w:val="single" w:sz="4" w:space="4" w:color="000000"/>
        </w:pBd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25724E7C" w14:textId="77777777" w:rsidR="00BB62F4" w:rsidRDefault="00000000">
      <w:pPr>
        <w:pBdr>
          <w:top w:val="single" w:sz="4" w:space="1" w:color="000000"/>
          <w:left w:val="single" w:sz="4" w:space="4" w:color="000000"/>
          <w:bottom w:val="single" w:sz="4" w:space="1" w:color="000000"/>
          <w:right w:val="single" w:sz="4" w:space="4" w:color="000000"/>
        </w:pBdr>
        <w:rPr>
          <w:i/>
          <w:iCs/>
          <w:shd w:val="clear" w:color="auto" w:fill="D9E2F3"/>
        </w:rPr>
      </w:pPr>
      <w:r>
        <w:rPr>
          <w:i/>
          <w:iCs/>
          <w:shd w:val="clear" w:color="auto" w:fill="D9E2F3"/>
        </w:rPr>
        <w:t>If yes, elaborate</w:t>
      </w:r>
    </w:p>
    <w:p w14:paraId="2D39BD05" w14:textId="77777777" w:rsidR="00BB62F4" w:rsidRDefault="00000000">
      <w:pPr>
        <w:numPr>
          <w:ilvl w:val="0"/>
          <w:numId w:val="4"/>
        </w:numPr>
        <w:pBdr>
          <w:top w:val="nil"/>
          <w:left w:val="nil"/>
          <w:bottom w:val="nil"/>
          <w:right w:val="nil"/>
          <w:between w:val="nil"/>
        </w:pBdr>
        <w:rPr>
          <w:color w:val="000000"/>
        </w:rPr>
      </w:pPr>
      <w:r>
        <w:rPr>
          <w:color w:val="000000"/>
        </w:rPr>
        <w:t>Has the MSG prioritised outreach efforts, for example to target companies that hold or apply for licenses for high-value or corruption-prone commodities?</w:t>
      </w:r>
    </w:p>
    <w:p w14:paraId="1B1537B8" w14:textId="77777777" w:rsidR="00BB62F4" w:rsidRDefault="00000000">
      <w:pPr>
        <w:pBdr>
          <w:top w:val="single" w:sz="4" w:space="1" w:color="000000"/>
          <w:left w:val="single" w:sz="4" w:space="4" w:color="000000"/>
          <w:bottom w:val="single" w:sz="4" w:space="1" w:color="000000"/>
          <w:right w:val="single" w:sz="4" w:space="4" w:color="000000"/>
        </w:pBdr>
      </w:pPr>
      <w:r>
        <w:rPr>
          <w:rFonts w:ascii="MS Gothic" w:eastAsia="MS Gothic" w:hAnsi="MS Gothic" w:cs="MS Gothic"/>
        </w:rPr>
        <w:t>☒</w:t>
      </w:r>
      <w:r>
        <w:t xml:space="preserve"> Yes           </w:t>
      </w:r>
      <w:r>
        <w:rPr>
          <w:rFonts w:ascii="MS Gothic" w:eastAsia="MS Gothic" w:hAnsi="MS Gothic" w:cs="MS Gothic"/>
        </w:rPr>
        <w:t>☐</w:t>
      </w:r>
      <w:r>
        <w:t>No</w:t>
      </w:r>
    </w:p>
    <w:p w14:paraId="18074B96" w14:textId="77777777" w:rsidR="00BB62F4" w:rsidRDefault="00000000">
      <w:pPr>
        <w:pBdr>
          <w:top w:val="single" w:sz="4" w:space="1" w:color="000000"/>
          <w:left w:val="single" w:sz="4" w:space="4" w:color="000000"/>
          <w:bottom w:val="single" w:sz="4" w:space="1" w:color="000000"/>
          <w:right w:val="single" w:sz="4" w:space="4" w:color="000000"/>
        </w:pBdr>
        <w:rPr>
          <w:i/>
          <w:iCs/>
        </w:rPr>
      </w:pPr>
      <w:r>
        <w:rPr>
          <w:i/>
          <w:iCs/>
        </w:rPr>
        <w:t xml:space="preserve">If yes, elaborate and provide sources </w:t>
      </w:r>
    </w:p>
    <w:p w14:paraId="6AEB86BE" w14:textId="77777777" w:rsidR="00BB62F4" w:rsidRDefault="00000000">
      <w:pPr>
        <w:pBdr>
          <w:top w:val="single" w:sz="4" w:space="1" w:color="000000"/>
          <w:left w:val="single" w:sz="4" w:space="4" w:color="000000"/>
          <w:bottom w:val="single" w:sz="4" w:space="1" w:color="000000"/>
          <w:right w:val="single" w:sz="4" w:space="4" w:color="000000"/>
        </w:pBdr>
        <w:rPr>
          <w:i/>
          <w:iCs/>
        </w:rPr>
      </w:pPr>
      <w:r>
        <w:rPr>
          <w:i/>
          <w:iCs/>
        </w:rPr>
        <w:t xml:space="preserve">- There was a structured template workshop in </w:t>
      </w:r>
      <w:proofErr w:type="gramStart"/>
      <w:r>
        <w:rPr>
          <w:i/>
          <w:iCs/>
        </w:rPr>
        <w:t>2024 .</w:t>
      </w:r>
      <w:proofErr w:type="gramEnd"/>
      <w:r>
        <w:rPr>
          <w:i/>
          <w:iCs/>
        </w:rPr>
        <w:t xml:space="preserve"> Attach links.</w:t>
      </w:r>
    </w:p>
    <w:p w14:paraId="689D0B46" w14:textId="77777777" w:rsidR="00BB62F4" w:rsidRDefault="00000000">
      <w:pPr>
        <w:pBdr>
          <w:top w:val="single" w:sz="4" w:space="1" w:color="000000"/>
          <w:left w:val="single" w:sz="4" w:space="4" w:color="000000"/>
          <w:bottom w:val="single" w:sz="4" w:space="1" w:color="000000"/>
          <w:right w:val="single" w:sz="4" w:space="4" w:color="000000"/>
        </w:pBdr>
        <w:rPr>
          <w:i/>
          <w:iCs/>
        </w:rPr>
      </w:pPr>
      <w:hyperlink r:id="rId197">
        <w:r>
          <w:rPr>
            <w:i/>
            <w:iCs/>
            <w:color w:val="1155CC"/>
            <w:u w:val="single"/>
          </w:rPr>
          <w:t>https://mediatracnet.com/2024/05/ongoing-engagement-with-extractive-firms-to-sensitise-them-on-industry-auditing-template-says-neiti/</w:t>
        </w:r>
      </w:hyperlink>
    </w:p>
    <w:p w14:paraId="6BC67E21" w14:textId="77777777" w:rsidR="00BB62F4" w:rsidRDefault="00000000">
      <w:pPr>
        <w:pBdr>
          <w:top w:val="single" w:sz="4" w:space="1" w:color="000000"/>
          <w:left w:val="single" w:sz="4" w:space="4" w:color="000000"/>
          <w:bottom w:val="single" w:sz="4" w:space="1" w:color="000000"/>
          <w:right w:val="single" w:sz="4" w:space="4" w:color="000000"/>
        </w:pBdr>
        <w:rPr>
          <w:i/>
          <w:iCs/>
        </w:rPr>
      </w:pPr>
      <w:hyperlink r:id="rId198" w:anchor="google_vignette">
        <w:r>
          <w:rPr>
            <w:i/>
            <w:iCs/>
            <w:color w:val="1155CC"/>
            <w:u w:val="single"/>
          </w:rPr>
          <w:t>https://leadership.ng/neiti-targets-domestic-resource-mobilisation-in-2022-2023-oil-gas-mining-audits/#google_vignette</w:t>
        </w:r>
      </w:hyperlink>
    </w:p>
    <w:p w14:paraId="38E1A1F0" w14:textId="77777777" w:rsidR="00BB62F4" w:rsidRDefault="00BB62F4">
      <w:pPr>
        <w:pBdr>
          <w:top w:val="single" w:sz="4" w:space="1" w:color="000000"/>
          <w:left w:val="single" w:sz="4" w:space="4" w:color="000000"/>
          <w:bottom w:val="single" w:sz="4" w:space="1" w:color="000000"/>
          <w:right w:val="single" w:sz="4" w:space="4" w:color="000000"/>
        </w:pBdr>
        <w:rPr>
          <w:i/>
          <w:iCs/>
          <w:highlight w:val="white"/>
        </w:rPr>
      </w:pPr>
    </w:p>
    <w:p w14:paraId="430E4808" w14:textId="77777777" w:rsidR="00BB62F4" w:rsidRDefault="00000000">
      <w:pPr>
        <w:pBdr>
          <w:top w:val="single" w:sz="4" w:space="1" w:color="000000"/>
          <w:left w:val="single" w:sz="4" w:space="4" w:color="000000"/>
          <w:bottom w:val="single" w:sz="4" w:space="1" w:color="000000"/>
          <w:right w:val="single" w:sz="4" w:space="4" w:color="000000"/>
        </w:pBdr>
        <w:rPr>
          <w:i/>
          <w:iCs/>
        </w:rPr>
      </w:pPr>
      <w:hyperlink r:id="rId199">
        <w:r>
          <w:rPr>
            <w:i/>
            <w:iCs/>
            <w:color w:val="1155CC"/>
            <w:u w:val="single"/>
          </w:rPr>
          <w:t>https://guardian.ng/energy/neiti-tasks-dangote-refinery-on-compliance-obtains-records-from-198-oil-firms/</w:t>
        </w:r>
      </w:hyperlink>
    </w:p>
    <w:p w14:paraId="15EE3E90" w14:textId="77777777" w:rsidR="00BB62F4" w:rsidRDefault="00000000">
      <w:pPr>
        <w:pBdr>
          <w:top w:val="single" w:sz="4" w:space="1" w:color="000000"/>
          <w:left w:val="single" w:sz="4" w:space="4" w:color="000000"/>
          <w:bottom w:val="single" w:sz="4" w:space="1" w:color="000000"/>
          <w:right w:val="single" w:sz="4" w:space="4" w:color="000000"/>
        </w:pBdr>
        <w:rPr>
          <w:i/>
          <w:iCs/>
          <w:highlight w:val="red"/>
        </w:rPr>
      </w:pPr>
      <w:hyperlink r:id="rId200" w:anchor=":~:text=The%20Nigerian%20Extractive%20Industries%20Transparency,Initiative%20(EITI)%20supporting%20company">
        <w:r>
          <w:rPr>
            <w:i/>
            <w:iCs/>
            <w:color w:val="1155CC"/>
            <w:u w:val="single"/>
          </w:rPr>
          <w:t>https://thenationonlineng.net/neiti-gives-dangote-refinery-guidelines/#:~:text=The%20Nigerian%20Extractive%20Industries%20Transparency,Initiative%20(EITI)%20supporting%20company</w:t>
        </w:r>
      </w:hyperlink>
      <w:r>
        <w:rPr>
          <w:i/>
          <w:iCs/>
        </w:rPr>
        <w:t xml:space="preserve"> </w:t>
      </w:r>
    </w:p>
    <w:p w14:paraId="6FE2E41D" w14:textId="77777777" w:rsidR="00BB62F4" w:rsidRDefault="00000000">
      <w:pPr>
        <w:rPr>
          <w:b/>
          <w:bCs/>
        </w:rPr>
      </w:pPr>
      <w:r>
        <w:rPr>
          <w:b/>
          <w:bCs/>
        </w:rPr>
        <w:t>Use of information</w:t>
      </w:r>
    </w:p>
    <w:p w14:paraId="6E562983" w14:textId="77777777" w:rsidR="00BB62F4" w:rsidRDefault="00000000">
      <w:pPr>
        <w:numPr>
          <w:ilvl w:val="0"/>
          <w:numId w:val="4"/>
        </w:numPr>
        <w:pBdr>
          <w:top w:val="nil"/>
          <w:left w:val="nil"/>
          <w:bottom w:val="nil"/>
          <w:right w:val="nil"/>
          <w:between w:val="nil"/>
        </w:pBdr>
        <w:rPr>
          <w:color w:val="000000"/>
        </w:rPr>
      </w:pPr>
      <w:r>
        <w:rPr>
          <w:color w:val="000000"/>
        </w:rPr>
        <w:t>Do MSG members consider that information on legal and beneficial owners is accessible, enabling the public to know who ultimately owns and controls the companies operating in the country’s extractive industries?</w:t>
      </w:r>
    </w:p>
    <w:p w14:paraId="7A8385E4" w14:textId="77777777" w:rsidR="00BB62F4" w:rsidRDefault="00000000">
      <w:pPr>
        <w:pBdr>
          <w:top w:val="single" w:sz="4" w:space="1" w:color="000000"/>
          <w:left w:val="single" w:sz="4" w:space="4" w:color="000000"/>
          <w:bottom w:val="single" w:sz="4" w:space="1" w:color="000000"/>
          <w:right w:val="single" w:sz="4" w:space="4" w:color="000000"/>
        </w:pBd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22B46D0C" w14:textId="77777777" w:rsidR="00BB62F4" w:rsidRDefault="00000000">
      <w:pPr>
        <w:pBdr>
          <w:top w:val="single" w:sz="4" w:space="1" w:color="000000"/>
          <w:left w:val="single" w:sz="4" w:space="4" w:color="000000"/>
          <w:bottom w:val="single" w:sz="4" w:space="1" w:color="000000"/>
          <w:right w:val="single" w:sz="4" w:space="4" w:color="000000"/>
        </w:pBdr>
        <w:rPr>
          <w:shd w:val="clear" w:color="auto" w:fill="D9E2F3"/>
        </w:rPr>
      </w:pPr>
      <w:r>
        <w:rPr>
          <w:i/>
          <w:iCs/>
          <w:shd w:val="clear" w:color="auto" w:fill="D9E2F3"/>
        </w:rPr>
        <w:t>Elaborate:</w:t>
      </w:r>
    </w:p>
    <w:p w14:paraId="7EC82A84" w14:textId="77777777" w:rsidR="00BB62F4" w:rsidRDefault="00000000">
      <w:pPr>
        <w:numPr>
          <w:ilvl w:val="0"/>
          <w:numId w:val="4"/>
        </w:numPr>
        <w:pBdr>
          <w:top w:val="nil"/>
          <w:left w:val="nil"/>
          <w:bottom w:val="nil"/>
          <w:right w:val="nil"/>
          <w:between w:val="nil"/>
        </w:pBdr>
        <w:rPr>
          <w:color w:val="000000"/>
        </w:rPr>
      </w:pPr>
      <w:r>
        <w:rPr>
          <w:color w:val="000000"/>
        </w:rPr>
        <w:lastRenderedPageBreak/>
        <w:t>Is any of the information as set out above available in open format, for example as excel work sheet or format compatible with the BODS, to facilitate its use?</w:t>
      </w:r>
    </w:p>
    <w:tbl>
      <w:tblPr>
        <w:tblStyle w:val="aff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2E3E9760" w14:textId="77777777">
        <w:tc>
          <w:tcPr>
            <w:tcW w:w="9062" w:type="dxa"/>
          </w:tcPr>
          <w:p w14:paraId="6013FCE4"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79D9A93E" w14:textId="77777777" w:rsidR="00BB62F4" w:rsidRDefault="00000000">
            <w:pPr>
              <w:rPr>
                <w:i/>
                <w:iCs/>
              </w:rPr>
            </w:pPr>
            <w:r>
              <w:rPr>
                <w:i/>
                <w:iCs/>
                <w:shd w:val="clear" w:color="auto" w:fill="D9E2F3"/>
              </w:rPr>
              <w:t>Describe the data set(s) available, including in what format:</w:t>
            </w:r>
            <w:r>
              <w:rPr>
                <w:i/>
                <w:iCs/>
              </w:rPr>
              <w:t xml:space="preserve">  it is available both in Excel and .csv format. </w:t>
            </w:r>
          </w:p>
        </w:tc>
      </w:tr>
    </w:tbl>
    <w:p w14:paraId="32420E6D" w14:textId="77777777" w:rsidR="00BB62F4" w:rsidRDefault="00000000">
      <w:pPr>
        <w:numPr>
          <w:ilvl w:val="0"/>
          <w:numId w:val="4"/>
        </w:numPr>
        <w:pBdr>
          <w:top w:val="nil"/>
          <w:left w:val="nil"/>
          <w:bottom w:val="nil"/>
          <w:right w:val="nil"/>
          <w:between w:val="nil"/>
        </w:pBdr>
        <w:rPr>
          <w:color w:val="000000"/>
        </w:rPr>
      </w:pPr>
      <w:r>
        <w:rPr>
          <w:color w:val="000000"/>
        </w:rPr>
        <w:t>Has the MSG conducted any analysis using any of the information of this requirement?</w:t>
      </w:r>
    </w:p>
    <w:tbl>
      <w:tblPr>
        <w:tblStyle w:val="aff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7ADCD107" w14:textId="77777777">
        <w:tc>
          <w:tcPr>
            <w:tcW w:w="9062" w:type="dxa"/>
          </w:tcPr>
          <w:p w14:paraId="2B302931"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71A8FC1D" w14:textId="77777777" w:rsidR="00BB62F4" w:rsidRDefault="00000000">
            <w:pPr>
              <w:rPr>
                <w:i/>
                <w:iCs/>
              </w:rPr>
            </w:pPr>
            <w:r>
              <w:rPr>
                <w:i/>
                <w:iCs/>
                <w:shd w:val="clear" w:color="auto" w:fill="D9E2F3"/>
              </w:rPr>
              <w:t>If yes, sources to where this analysis can be found.</w:t>
            </w:r>
            <w:r>
              <w:rPr>
                <w:i/>
                <w:iCs/>
              </w:rPr>
              <w:t xml:space="preserve"> </w:t>
            </w:r>
          </w:p>
        </w:tc>
      </w:tr>
    </w:tbl>
    <w:p w14:paraId="044BFA59" w14:textId="77777777" w:rsidR="00BB62F4" w:rsidRDefault="00000000">
      <w:pPr>
        <w:numPr>
          <w:ilvl w:val="0"/>
          <w:numId w:val="4"/>
        </w:numPr>
        <w:pBdr>
          <w:top w:val="nil"/>
          <w:left w:val="nil"/>
          <w:bottom w:val="nil"/>
          <w:right w:val="nil"/>
          <w:between w:val="nil"/>
        </w:pBdr>
        <w:rPr>
          <w:color w:val="000000"/>
        </w:rPr>
      </w:pPr>
      <w:r>
        <w:rPr>
          <w:color w:val="000000"/>
        </w:rPr>
        <w:t>Is the MSG aware of stakeholders using this information?</w:t>
      </w:r>
    </w:p>
    <w:tbl>
      <w:tblPr>
        <w:tblStyle w:val="aff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1BDC3FFF" w14:textId="77777777">
        <w:tc>
          <w:tcPr>
            <w:tcW w:w="9062" w:type="dxa"/>
          </w:tcPr>
          <w:p w14:paraId="71CFE519" w14:textId="77777777" w:rsidR="00BB62F4" w:rsidRDefault="00000000">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4F94D5D6" w14:textId="77777777" w:rsidR="00BB62F4" w:rsidRDefault="00000000">
            <w:r>
              <w:rPr>
                <w:i/>
                <w:iCs/>
                <w:shd w:val="clear" w:color="auto" w:fill="D9E2F3"/>
              </w:rPr>
              <w:t>If applicable, sources to where this analysis can be found</w:t>
            </w:r>
            <w:r>
              <w:rPr>
                <w:i/>
                <w:iCs/>
              </w:rPr>
              <w:t xml:space="preserve">  </w:t>
            </w:r>
          </w:p>
        </w:tc>
      </w:tr>
    </w:tbl>
    <w:p w14:paraId="6B8FD786" w14:textId="77777777" w:rsidR="00BB62F4" w:rsidRDefault="00000000">
      <w:pPr>
        <w:numPr>
          <w:ilvl w:val="0"/>
          <w:numId w:val="4"/>
        </w:numPr>
        <w:pBdr>
          <w:top w:val="nil"/>
          <w:left w:val="nil"/>
          <w:bottom w:val="nil"/>
          <w:right w:val="nil"/>
          <w:between w:val="nil"/>
        </w:pBdr>
        <w:rPr>
          <w:color w:val="000000"/>
        </w:rPr>
      </w:pPr>
      <w:r>
        <w:rPr>
          <w:color w:val="000000"/>
        </w:rPr>
        <w:t>Has the MSG undertaken any training activities aimed at strengthening stakeholder’s capacity to use beneficial ownership information?</w:t>
      </w:r>
    </w:p>
    <w:p w14:paraId="084C313C" w14:textId="77777777" w:rsidR="00BB62F4" w:rsidRDefault="00000000">
      <w:pPr>
        <w:pBdr>
          <w:top w:val="single" w:sz="4" w:space="1" w:color="000000"/>
          <w:left w:val="single" w:sz="4" w:space="4" w:color="000000"/>
          <w:bottom w:val="single" w:sz="4" w:space="1" w:color="000000"/>
          <w:right w:val="single" w:sz="4" w:space="4" w:color="000000"/>
        </w:pBd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 xml:space="preserve">☒ </w:t>
      </w:r>
      <w:r>
        <w:rPr>
          <w:shd w:val="clear" w:color="auto" w:fill="D9E2F3"/>
        </w:rPr>
        <w:t>No</w:t>
      </w:r>
    </w:p>
    <w:p w14:paraId="6E098085" w14:textId="77777777" w:rsidR="00BB62F4" w:rsidRDefault="00000000">
      <w:pPr>
        <w:pBdr>
          <w:top w:val="single" w:sz="4" w:space="1" w:color="000000"/>
          <w:left w:val="single" w:sz="4" w:space="4" w:color="000000"/>
          <w:bottom w:val="single" w:sz="4" w:space="1" w:color="000000"/>
          <w:right w:val="single" w:sz="4" w:space="4" w:color="000000"/>
        </w:pBdr>
        <w:rPr>
          <w:i/>
          <w:iCs/>
        </w:rPr>
      </w:pPr>
      <w:r>
        <w:rPr>
          <w:i/>
          <w:iCs/>
          <w:shd w:val="clear" w:color="auto" w:fill="D9E2F3"/>
        </w:rPr>
        <w:t>If applicable, sources to where this has been documented</w:t>
      </w:r>
      <w:r>
        <w:rPr>
          <w:i/>
          <w:iCs/>
        </w:rPr>
        <w:t xml:space="preserve">  </w:t>
      </w:r>
    </w:p>
    <w:p w14:paraId="7D945138" w14:textId="77777777" w:rsidR="00BB62F4" w:rsidRDefault="00000000">
      <w:pPr>
        <w:numPr>
          <w:ilvl w:val="0"/>
          <w:numId w:val="4"/>
        </w:numPr>
        <w:pBdr>
          <w:top w:val="nil"/>
          <w:left w:val="nil"/>
          <w:bottom w:val="nil"/>
          <w:right w:val="nil"/>
          <w:between w:val="nil"/>
        </w:pBdr>
        <w:rPr>
          <w:color w:val="000000"/>
        </w:rPr>
      </w:pPr>
      <w:r>
        <w:rPr>
          <w:color w:val="000000"/>
        </w:rPr>
        <w:t>Have efforts made in the extractive sector prompted discussions about the opportunity for beneficial ownership transparency in other sectors of the economy?</w:t>
      </w:r>
    </w:p>
    <w:p w14:paraId="3DFCC88E" w14:textId="77777777" w:rsidR="00BB62F4" w:rsidRDefault="00000000">
      <w:pPr>
        <w:pBdr>
          <w:top w:val="single" w:sz="4" w:space="1" w:color="000000"/>
          <w:left w:val="single" w:sz="4" w:space="4" w:color="000000"/>
          <w:bottom w:val="single" w:sz="4" w:space="1" w:color="000000"/>
          <w:right w:val="single" w:sz="4" w:space="4" w:color="000000"/>
        </w:pBdr>
        <w:rPr>
          <w:shd w:val="clear" w:color="auto" w:fill="D9E2F3"/>
        </w:rPr>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25A6C921" w14:textId="77777777" w:rsidR="00BB62F4" w:rsidRDefault="00000000">
      <w:pPr>
        <w:pBdr>
          <w:top w:val="single" w:sz="4" w:space="1" w:color="000000"/>
          <w:left w:val="single" w:sz="4" w:space="4" w:color="000000"/>
          <w:bottom w:val="single" w:sz="4" w:space="1" w:color="000000"/>
          <w:right w:val="single" w:sz="4" w:space="4" w:color="000000"/>
        </w:pBdr>
        <w:rPr>
          <w:i/>
          <w:iCs/>
          <w:highlight w:val="red"/>
        </w:rPr>
      </w:pPr>
      <w:r>
        <w:rPr>
          <w:i/>
          <w:iCs/>
          <w:shd w:val="clear" w:color="auto" w:fill="D9E2F3"/>
        </w:rPr>
        <w:t xml:space="preserve">If yes, </w:t>
      </w:r>
      <w:proofErr w:type="gramStart"/>
      <w:r>
        <w:rPr>
          <w:i/>
          <w:iCs/>
          <w:shd w:val="clear" w:color="auto" w:fill="D9E2F3"/>
        </w:rPr>
        <w:t xml:space="preserve">elaborate </w:t>
      </w:r>
      <w:r>
        <w:rPr>
          <w:i/>
          <w:iCs/>
          <w:highlight w:val="red"/>
        </w:rPr>
        <w:t xml:space="preserve"> OGZA</w:t>
      </w:r>
      <w:proofErr w:type="gramEnd"/>
      <w:r>
        <w:rPr>
          <w:i/>
          <w:iCs/>
          <w:highlight w:val="red"/>
        </w:rPr>
        <w:t xml:space="preserve">, NEPZA and CAC  </w:t>
      </w:r>
    </w:p>
    <w:p w14:paraId="0A7EACCA" w14:textId="77777777" w:rsidR="00BB62F4" w:rsidRDefault="00BB62F4"/>
    <w:p w14:paraId="38B784E5" w14:textId="77777777" w:rsidR="00BB62F4" w:rsidRDefault="00000000">
      <w:pPr>
        <w:pStyle w:val="Heading3"/>
      </w:pPr>
      <w:bookmarkStart w:id="39" w:name="_heading=h.n75xdikakxnn" w:colFirst="0" w:colLast="0"/>
      <w:bookmarkEnd w:id="39"/>
      <w:r>
        <w:t>Conclusion</w:t>
      </w:r>
    </w:p>
    <w:p w14:paraId="737211EA" w14:textId="77777777" w:rsidR="00BB62F4" w:rsidRDefault="00000000">
      <w:pPr>
        <w:rPr>
          <w:sz w:val="22"/>
          <w:szCs w:val="22"/>
        </w:rPr>
      </w:pPr>
      <w:r>
        <w:rPr>
          <w:sz w:val="22"/>
          <w:szCs w:val="22"/>
        </w:rPr>
        <w:t xml:space="preserve">Based on the review of the </w:t>
      </w:r>
      <w:hyperlink w:anchor="_heading=h.lzs767mgf02w">
        <w:r>
          <w:rPr>
            <w:color w:val="0000FF"/>
            <w:sz w:val="22"/>
            <w:szCs w:val="22"/>
            <w:u w:val="single"/>
          </w:rPr>
          <w:t>technical aspects</w:t>
        </w:r>
      </w:hyperlink>
      <w:r>
        <w:rPr>
          <w:sz w:val="22"/>
          <w:szCs w:val="22"/>
        </w:rPr>
        <w:t xml:space="preserve"> and </w:t>
      </w:r>
      <w:hyperlink w:anchor="_heading=h.479i6v7e38vh">
        <w:r>
          <w:rPr>
            <w:color w:val="0000FF"/>
            <w:sz w:val="22"/>
            <w:szCs w:val="22"/>
            <w:u w:val="single"/>
          </w:rPr>
          <w:t>underlying objective</w:t>
        </w:r>
      </w:hyperlink>
      <w:r>
        <w:rPr>
          <w:sz w:val="22"/>
          <w:szCs w:val="22"/>
        </w:rPr>
        <w:t>, what is the MSG’s overall assessment towards meeting the requirement?</w:t>
      </w:r>
    </w:p>
    <w:p w14:paraId="7A263E35" w14:textId="77777777" w:rsidR="00BB62F4" w:rsidRDefault="00BB62F4">
      <w:pPr>
        <w:pBdr>
          <w:top w:val="nil"/>
          <w:left w:val="nil"/>
          <w:bottom w:val="nil"/>
          <w:right w:val="nil"/>
          <w:between w:val="nil"/>
        </w:pBdr>
        <w:spacing w:line="276" w:lineRule="auto"/>
        <w:rPr>
          <w:color w:val="000000"/>
          <w:sz w:val="22"/>
          <w:szCs w:val="22"/>
        </w:rPr>
      </w:pPr>
    </w:p>
    <w:p w14:paraId="282D6F5E" w14:textId="77777777" w:rsidR="00BB62F4" w:rsidRDefault="00000000">
      <w:pPr>
        <w:pBdr>
          <w:top w:val="nil"/>
          <w:left w:val="nil"/>
          <w:bottom w:val="nil"/>
          <w:right w:val="nil"/>
          <w:between w:val="nil"/>
        </w:pBdr>
        <w:spacing w:line="276" w:lineRule="auto"/>
        <w:rPr>
          <w:color w:val="000000"/>
          <w:sz w:val="22"/>
          <w:szCs w:val="22"/>
        </w:rPr>
      </w:pPr>
      <w:r>
        <w:rPr>
          <w:color w:val="000000"/>
          <w:sz w:val="22"/>
          <w:szCs w:val="22"/>
        </w:rPr>
        <w:t>Score is:</w:t>
      </w:r>
    </w:p>
    <w:tbl>
      <w:tblPr>
        <w:tblStyle w:val="afff"/>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BB62F4" w14:paraId="02C19034" w14:textId="77777777">
        <w:trPr>
          <w:trHeight w:val="60"/>
        </w:trPr>
        <w:tc>
          <w:tcPr>
            <w:tcW w:w="1413" w:type="dxa"/>
          </w:tcPr>
          <w:p w14:paraId="72162337" w14:textId="77777777" w:rsidR="00BB62F4" w:rsidRDefault="00000000">
            <w:pPr>
              <w:spacing w:before="0" w:after="0"/>
              <w:rPr>
                <w:sz w:val="22"/>
                <w:szCs w:val="22"/>
              </w:rPr>
            </w:pPr>
            <w:r>
              <w:rPr>
                <w:rFonts w:ascii="MS Gothic" w:eastAsia="MS Gothic" w:hAnsi="MS Gothic" w:cs="MS Gothic"/>
                <w:b/>
                <w:bCs/>
                <w:sz w:val="22"/>
                <w:szCs w:val="22"/>
              </w:rPr>
              <w:t>☐</w:t>
            </w:r>
          </w:p>
        </w:tc>
        <w:tc>
          <w:tcPr>
            <w:tcW w:w="1134" w:type="dxa"/>
          </w:tcPr>
          <w:p w14:paraId="5651EC6A" w14:textId="77777777" w:rsidR="00BB62F4" w:rsidRDefault="00000000">
            <w:pPr>
              <w:spacing w:before="0" w:after="0"/>
              <w:rPr>
                <w:sz w:val="22"/>
                <w:szCs w:val="22"/>
              </w:rPr>
            </w:pPr>
            <w:r>
              <w:rPr>
                <w:rFonts w:ascii="MS Gothic" w:eastAsia="MS Gothic" w:hAnsi="MS Gothic" w:cs="MS Gothic"/>
                <w:sz w:val="22"/>
                <w:szCs w:val="22"/>
              </w:rPr>
              <w:t>☐</w:t>
            </w:r>
          </w:p>
        </w:tc>
        <w:tc>
          <w:tcPr>
            <w:tcW w:w="1417" w:type="dxa"/>
          </w:tcPr>
          <w:p w14:paraId="1FE78D08" w14:textId="77777777" w:rsidR="00BB62F4" w:rsidRDefault="00000000">
            <w:pPr>
              <w:spacing w:before="0" w:after="0"/>
              <w:rPr>
                <w:sz w:val="22"/>
                <w:szCs w:val="22"/>
              </w:rPr>
            </w:pPr>
            <w:r>
              <w:rPr>
                <w:rFonts w:ascii="MS Gothic" w:eastAsia="MS Gothic" w:hAnsi="MS Gothic" w:cs="MS Gothic"/>
                <w:sz w:val="22"/>
                <w:szCs w:val="22"/>
              </w:rPr>
              <w:t>☐</w:t>
            </w:r>
          </w:p>
        </w:tc>
        <w:tc>
          <w:tcPr>
            <w:tcW w:w="1276" w:type="dxa"/>
          </w:tcPr>
          <w:p w14:paraId="111A1C50" w14:textId="77777777" w:rsidR="00BB62F4" w:rsidRDefault="00000000">
            <w:pPr>
              <w:spacing w:before="0" w:after="0"/>
              <w:rPr>
                <w:sz w:val="22"/>
                <w:szCs w:val="22"/>
              </w:rPr>
            </w:pPr>
            <w:r>
              <w:rPr>
                <w:rFonts w:ascii="MS Gothic" w:eastAsia="MS Gothic" w:hAnsi="MS Gothic" w:cs="MS Gothic"/>
                <w:sz w:val="22"/>
                <w:szCs w:val="22"/>
              </w:rPr>
              <w:t>☐</w:t>
            </w:r>
          </w:p>
        </w:tc>
        <w:tc>
          <w:tcPr>
            <w:tcW w:w="1848" w:type="dxa"/>
          </w:tcPr>
          <w:p w14:paraId="31BCE994" w14:textId="77777777" w:rsidR="00BB62F4" w:rsidRDefault="00000000">
            <w:pPr>
              <w:pBdr>
                <w:top w:val="single" w:sz="4" w:space="1" w:color="000000"/>
                <w:left w:val="single" w:sz="4" w:space="4" w:color="000000"/>
                <w:bottom w:val="single" w:sz="4" w:space="1" w:color="000000"/>
                <w:right w:val="single" w:sz="4" w:space="4" w:color="000000"/>
              </w:pBdr>
              <w:rPr>
                <w:sz w:val="22"/>
                <w:szCs w:val="22"/>
              </w:rPr>
            </w:pPr>
            <w:r>
              <w:rPr>
                <w:rFonts w:ascii="MS Gothic" w:eastAsia="MS Gothic" w:hAnsi="MS Gothic" w:cs="MS Gothic"/>
              </w:rPr>
              <w:t>☒</w:t>
            </w:r>
          </w:p>
        </w:tc>
        <w:tc>
          <w:tcPr>
            <w:tcW w:w="1671" w:type="dxa"/>
          </w:tcPr>
          <w:p w14:paraId="3759954E" w14:textId="77777777" w:rsidR="00BB62F4" w:rsidRDefault="00000000">
            <w:pPr>
              <w:spacing w:before="0" w:after="0"/>
              <w:rPr>
                <w:sz w:val="22"/>
                <w:szCs w:val="22"/>
              </w:rPr>
            </w:pPr>
            <w:r>
              <w:rPr>
                <w:rFonts w:ascii="MS Gothic" w:eastAsia="MS Gothic" w:hAnsi="MS Gothic" w:cs="MS Gothic"/>
                <w:sz w:val="22"/>
                <w:szCs w:val="22"/>
              </w:rPr>
              <w:t>☐</w:t>
            </w:r>
          </w:p>
        </w:tc>
      </w:tr>
      <w:tr w:rsidR="00BB62F4" w14:paraId="0B498545" w14:textId="77777777">
        <w:trPr>
          <w:trHeight w:val="60"/>
        </w:trPr>
        <w:tc>
          <w:tcPr>
            <w:tcW w:w="1413" w:type="dxa"/>
          </w:tcPr>
          <w:p w14:paraId="56C5DD93" w14:textId="77777777" w:rsidR="00BB62F4" w:rsidRDefault="00000000">
            <w:pPr>
              <w:spacing w:before="0" w:after="0"/>
              <w:rPr>
                <w:sz w:val="22"/>
                <w:szCs w:val="22"/>
              </w:rPr>
            </w:pPr>
            <w:r>
              <w:rPr>
                <w:sz w:val="22"/>
                <w:szCs w:val="22"/>
              </w:rPr>
              <w:t>very poor (</w:t>
            </w:r>
            <w:r>
              <w:rPr>
                <w:sz w:val="22"/>
                <w:szCs w:val="22"/>
                <w:highlight w:val="black"/>
              </w:rPr>
              <w:t>0</w:t>
            </w:r>
            <w:r>
              <w:rPr>
                <w:sz w:val="22"/>
                <w:szCs w:val="22"/>
              </w:rPr>
              <w:t>)</w:t>
            </w:r>
          </w:p>
        </w:tc>
        <w:tc>
          <w:tcPr>
            <w:tcW w:w="1134" w:type="dxa"/>
          </w:tcPr>
          <w:p w14:paraId="7FD24391" w14:textId="77777777" w:rsidR="00BB62F4" w:rsidRDefault="00000000">
            <w:pPr>
              <w:spacing w:before="0" w:after="0"/>
              <w:rPr>
                <w:sz w:val="22"/>
                <w:szCs w:val="22"/>
              </w:rPr>
            </w:pPr>
            <w:r>
              <w:rPr>
                <w:sz w:val="22"/>
                <w:szCs w:val="22"/>
              </w:rPr>
              <w:t>poor (</w:t>
            </w:r>
            <w:r>
              <w:rPr>
                <w:color w:val="FFFFFF"/>
                <w:sz w:val="22"/>
                <w:szCs w:val="22"/>
                <w:shd w:val="clear" w:color="auto" w:fill="FF3300"/>
              </w:rPr>
              <w:t>25</w:t>
            </w:r>
            <w:r>
              <w:rPr>
                <w:sz w:val="22"/>
                <w:szCs w:val="22"/>
              </w:rPr>
              <w:t>)</w:t>
            </w:r>
          </w:p>
        </w:tc>
        <w:tc>
          <w:tcPr>
            <w:tcW w:w="1417" w:type="dxa"/>
          </w:tcPr>
          <w:p w14:paraId="4077097D" w14:textId="77777777" w:rsidR="00BB62F4" w:rsidRDefault="00000000">
            <w:pPr>
              <w:spacing w:before="0" w:after="0"/>
              <w:rPr>
                <w:sz w:val="22"/>
                <w:szCs w:val="22"/>
              </w:rPr>
            </w:pPr>
            <w:r>
              <w:rPr>
                <w:sz w:val="22"/>
                <w:szCs w:val="22"/>
              </w:rPr>
              <w:t>limited (</w:t>
            </w:r>
            <w:r>
              <w:rPr>
                <w:sz w:val="22"/>
                <w:szCs w:val="22"/>
                <w:shd w:val="clear" w:color="auto" w:fill="FFC000"/>
              </w:rPr>
              <w:t>50</w:t>
            </w:r>
            <w:r>
              <w:rPr>
                <w:sz w:val="22"/>
                <w:szCs w:val="22"/>
              </w:rPr>
              <w:t>)</w:t>
            </w:r>
          </w:p>
        </w:tc>
        <w:tc>
          <w:tcPr>
            <w:tcW w:w="1276" w:type="dxa"/>
          </w:tcPr>
          <w:p w14:paraId="31B3C4F9" w14:textId="77777777" w:rsidR="00BB62F4" w:rsidRDefault="00000000">
            <w:pPr>
              <w:spacing w:before="0" w:after="0"/>
              <w:rPr>
                <w:sz w:val="22"/>
                <w:szCs w:val="22"/>
              </w:rPr>
            </w:pPr>
            <w:r>
              <w:rPr>
                <w:sz w:val="22"/>
                <w:szCs w:val="22"/>
              </w:rPr>
              <w:t>good (</w:t>
            </w:r>
            <w:r>
              <w:rPr>
                <w:sz w:val="22"/>
                <w:szCs w:val="22"/>
                <w:shd w:val="clear" w:color="auto" w:fill="89AA2E"/>
              </w:rPr>
              <w:t>70</w:t>
            </w:r>
            <w:r>
              <w:rPr>
                <w:sz w:val="22"/>
                <w:szCs w:val="22"/>
              </w:rPr>
              <w:t>)</w:t>
            </w:r>
          </w:p>
        </w:tc>
        <w:tc>
          <w:tcPr>
            <w:tcW w:w="1848" w:type="dxa"/>
          </w:tcPr>
          <w:p w14:paraId="58983FA6" w14:textId="77777777" w:rsidR="00BB62F4" w:rsidRDefault="00000000">
            <w:pPr>
              <w:spacing w:before="0" w:after="0"/>
              <w:rPr>
                <w:sz w:val="22"/>
                <w:szCs w:val="22"/>
              </w:rPr>
            </w:pPr>
            <w:r>
              <w:rPr>
                <w:sz w:val="22"/>
                <w:szCs w:val="22"/>
              </w:rPr>
              <w:t>very good (</w:t>
            </w:r>
            <w:r>
              <w:rPr>
                <w:color w:val="FFFFFF"/>
                <w:sz w:val="22"/>
                <w:szCs w:val="22"/>
                <w:shd w:val="clear" w:color="auto" w:fill="2B8636"/>
              </w:rPr>
              <w:t>90</w:t>
            </w:r>
            <w:r>
              <w:rPr>
                <w:sz w:val="22"/>
                <w:szCs w:val="22"/>
              </w:rPr>
              <w:t>)</w:t>
            </w:r>
          </w:p>
        </w:tc>
        <w:tc>
          <w:tcPr>
            <w:tcW w:w="1671" w:type="dxa"/>
          </w:tcPr>
          <w:p w14:paraId="63CEB02C" w14:textId="77777777" w:rsidR="00BB62F4" w:rsidRDefault="00000000">
            <w:pPr>
              <w:spacing w:before="0" w:after="0"/>
              <w:rPr>
                <w:sz w:val="22"/>
                <w:szCs w:val="22"/>
              </w:rPr>
            </w:pPr>
            <w:r>
              <w:rPr>
                <w:sz w:val="22"/>
                <w:szCs w:val="22"/>
              </w:rPr>
              <w:t>leading (</w:t>
            </w:r>
            <w:r>
              <w:rPr>
                <w:sz w:val="22"/>
                <w:szCs w:val="22"/>
                <w:shd w:val="clear" w:color="auto" w:fill="00B0F0"/>
              </w:rPr>
              <w:t>100</w:t>
            </w:r>
            <w:r>
              <w:rPr>
                <w:sz w:val="22"/>
                <w:szCs w:val="22"/>
              </w:rPr>
              <w:t>)</w:t>
            </w:r>
          </w:p>
        </w:tc>
      </w:tr>
      <w:tr w:rsidR="00BB62F4" w14:paraId="509BD157" w14:textId="77777777">
        <w:trPr>
          <w:trHeight w:val="60"/>
        </w:trPr>
        <w:tc>
          <w:tcPr>
            <w:tcW w:w="1413" w:type="dxa"/>
          </w:tcPr>
          <w:p w14:paraId="1E8A5028" w14:textId="77777777" w:rsidR="00BB62F4" w:rsidRDefault="00BB62F4">
            <w:pPr>
              <w:spacing w:before="0" w:after="0"/>
              <w:rPr>
                <w:sz w:val="22"/>
                <w:szCs w:val="22"/>
              </w:rPr>
            </w:pPr>
          </w:p>
        </w:tc>
        <w:tc>
          <w:tcPr>
            <w:tcW w:w="1134" w:type="dxa"/>
          </w:tcPr>
          <w:p w14:paraId="3B31C8D3" w14:textId="77777777" w:rsidR="00BB62F4" w:rsidRDefault="00BB62F4">
            <w:pPr>
              <w:spacing w:before="0" w:after="0"/>
              <w:rPr>
                <w:sz w:val="22"/>
                <w:szCs w:val="22"/>
              </w:rPr>
            </w:pPr>
          </w:p>
        </w:tc>
        <w:tc>
          <w:tcPr>
            <w:tcW w:w="1417" w:type="dxa"/>
          </w:tcPr>
          <w:p w14:paraId="7FF22CA0" w14:textId="77777777" w:rsidR="00BB62F4" w:rsidRDefault="00BB62F4">
            <w:pPr>
              <w:spacing w:before="0" w:after="0"/>
              <w:rPr>
                <w:sz w:val="22"/>
                <w:szCs w:val="22"/>
              </w:rPr>
            </w:pPr>
          </w:p>
        </w:tc>
        <w:tc>
          <w:tcPr>
            <w:tcW w:w="1276" w:type="dxa"/>
          </w:tcPr>
          <w:p w14:paraId="08A6FE80" w14:textId="77777777" w:rsidR="00BB62F4" w:rsidRDefault="00BB62F4">
            <w:pPr>
              <w:spacing w:before="0" w:after="0"/>
              <w:rPr>
                <w:sz w:val="22"/>
                <w:szCs w:val="22"/>
              </w:rPr>
            </w:pPr>
          </w:p>
        </w:tc>
        <w:tc>
          <w:tcPr>
            <w:tcW w:w="1848" w:type="dxa"/>
          </w:tcPr>
          <w:p w14:paraId="097E1818" w14:textId="77777777" w:rsidR="00BB62F4" w:rsidRDefault="00BB62F4">
            <w:pPr>
              <w:spacing w:before="0" w:after="0"/>
              <w:rPr>
                <w:sz w:val="22"/>
                <w:szCs w:val="22"/>
              </w:rPr>
            </w:pPr>
          </w:p>
        </w:tc>
        <w:tc>
          <w:tcPr>
            <w:tcW w:w="1671" w:type="dxa"/>
          </w:tcPr>
          <w:p w14:paraId="456F0EE9" w14:textId="77777777" w:rsidR="00BB62F4" w:rsidRDefault="00BB62F4">
            <w:pPr>
              <w:spacing w:before="0" w:after="0"/>
              <w:rPr>
                <w:sz w:val="22"/>
                <w:szCs w:val="22"/>
              </w:rPr>
            </w:pPr>
          </w:p>
        </w:tc>
      </w:tr>
    </w:tbl>
    <w:p w14:paraId="04BAE880" w14:textId="77777777" w:rsidR="00BB62F4" w:rsidRDefault="00000000">
      <w:pPr>
        <w:rPr>
          <w:b/>
          <w:bCs/>
          <w:sz w:val="22"/>
          <w:szCs w:val="22"/>
        </w:rPr>
      </w:pPr>
      <w:r>
        <w:rPr>
          <w:b/>
          <w:bCs/>
          <w:sz w:val="22"/>
          <w:szCs w:val="22"/>
        </w:rPr>
        <w:t xml:space="preserve">Or </w:t>
      </w:r>
    </w:p>
    <w:p w14:paraId="11762D93" w14:textId="77777777" w:rsidR="00BB62F4" w:rsidRDefault="00000000">
      <w:r>
        <w:rPr>
          <w:rFonts w:ascii="MS Gothic" w:eastAsia="MS Gothic" w:hAnsi="MS Gothic" w:cs="MS Gothic"/>
          <w:sz w:val="22"/>
          <w:szCs w:val="22"/>
        </w:rPr>
        <w:t>☐</w:t>
      </w:r>
      <w:r>
        <w:rPr>
          <w:sz w:val="22"/>
          <w:szCs w:val="22"/>
        </w:rPr>
        <w:t xml:space="preserve"> not applicable </w:t>
      </w:r>
    </w:p>
    <w:tbl>
      <w:tblPr>
        <w:tblStyle w:val="afff0"/>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BB62F4" w14:paraId="2952EEEB" w14:textId="77777777">
        <w:trPr>
          <w:trHeight w:val="700"/>
        </w:trPr>
        <w:tc>
          <w:tcPr>
            <w:tcW w:w="9067" w:type="dxa"/>
            <w:shd w:val="clear" w:color="auto" w:fill="D9E2F3"/>
          </w:tcPr>
          <w:p w14:paraId="7DBF2748" w14:textId="77777777" w:rsidR="00BB62F4" w:rsidRDefault="00000000">
            <w:pPr>
              <w:pBdr>
                <w:top w:val="nil"/>
                <w:left w:val="nil"/>
                <w:bottom w:val="nil"/>
                <w:right w:val="nil"/>
                <w:between w:val="nil"/>
              </w:pBdr>
              <w:spacing w:line="276" w:lineRule="auto"/>
              <w:rPr>
                <w:color w:val="000000"/>
              </w:rPr>
            </w:pPr>
            <w:r>
              <w:rPr>
                <w:color w:val="000000"/>
              </w:rPr>
              <w:t>Explain</w:t>
            </w:r>
          </w:p>
        </w:tc>
      </w:tr>
    </w:tbl>
    <w:p w14:paraId="6DA4674A" w14:textId="77777777" w:rsidR="00BB62F4" w:rsidRDefault="00000000">
      <w:pPr>
        <w:pStyle w:val="Heading2"/>
        <w:numPr>
          <w:ilvl w:val="0"/>
          <w:numId w:val="3"/>
        </w:numPr>
      </w:pPr>
      <w:bookmarkStart w:id="40" w:name="_heading=h.326a0gbg7ow7" w:colFirst="0" w:colLast="0"/>
      <w:bookmarkEnd w:id="40"/>
      <w:r>
        <w:lastRenderedPageBreak/>
        <w:t>International Secretariat feedback</w:t>
      </w:r>
    </w:p>
    <w:tbl>
      <w:tblPr>
        <w:tblStyle w:val="afff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B62F4" w14:paraId="45C181A0" w14:textId="77777777">
        <w:tc>
          <w:tcPr>
            <w:tcW w:w="9062" w:type="dxa"/>
            <w:tcBorders>
              <w:top w:val="nil"/>
              <w:left w:val="nil"/>
              <w:bottom w:val="nil"/>
              <w:right w:val="nil"/>
            </w:tcBorders>
            <w:shd w:val="clear" w:color="auto" w:fill="F2F2F2"/>
          </w:tcPr>
          <w:p w14:paraId="571B6B61" w14:textId="77777777" w:rsidR="00BB62F4" w:rsidRDefault="00000000">
            <w:pPr>
              <w:rPr>
                <w:i/>
                <w:iCs/>
              </w:rPr>
            </w:pPr>
            <w:r>
              <w:rPr>
                <w:i/>
                <w:iCs/>
              </w:rPr>
              <w:t>To be filled in by the International Secretariat</w:t>
            </w:r>
          </w:p>
          <w:p w14:paraId="51F35ED9" w14:textId="77777777" w:rsidR="00BB62F4" w:rsidRDefault="00000000">
            <w:pPr>
              <w:rPr>
                <w:i/>
                <w:iCs/>
              </w:rPr>
            </w:pPr>
            <w:r>
              <w:rPr>
                <w:i/>
                <w:iCs/>
              </w:rPr>
              <w:t xml:space="preserve">Observations of comprehensiveness of addressing the aspects, any gaps identified and further clarification needed. </w:t>
            </w:r>
          </w:p>
          <w:p w14:paraId="008A9948" w14:textId="77777777" w:rsidR="00BB62F4" w:rsidRDefault="00BB62F4">
            <w:pPr>
              <w:rPr>
                <w:i/>
                <w:iCs/>
              </w:rPr>
            </w:pPr>
          </w:p>
          <w:tbl>
            <w:tblPr>
              <w:tblStyle w:val="afff2"/>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6736"/>
            </w:tblGrid>
            <w:tr w:rsidR="00BB62F4" w14:paraId="78CAF9CE" w14:textId="77777777">
              <w:tc>
                <w:tcPr>
                  <w:tcW w:w="2100" w:type="dxa"/>
                </w:tcPr>
                <w:p w14:paraId="60270897" w14:textId="77777777" w:rsidR="00BB62F4" w:rsidRDefault="00000000">
                  <w:r>
                    <w:t>2.5.g Legal owners</w:t>
                  </w:r>
                </w:p>
                <w:p w14:paraId="548173DA" w14:textId="77777777" w:rsidR="00BB62F4" w:rsidRDefault="00000000">
                  <w:pPr>
                    <w:rPr>
                      <w:i/>
                      <w:iCs/>
                    </w:rPr>
                  </w:pPr>
                  <w:r>
                    <w:rPr>
                      <w:i/>
                      <w:iCs/>
                    </w:rPr>
                    <w:t>Required</w:t>
                  </w:r>
                </w:p>
              </w:tc>
              <w:tc>
                <w:tcPr>
                  <w:tcW w:w="6736" w:type="dxa"/>
                </w:tcPr>
                <w:p w14:paraId="05466630" w14:textId="77777777" w:rsidR="00BB62F4" w:rsidRDefault="00BB62F4"/>
              </w:tc>
            </w:tr>
            <w:tr w:rsidR="00BB62F4" w14:paraId="665AFF9D" w14:textId="77777777">
              <w:tc>
                <w:tcPr>
                  <w:tcW w:w="2100" w:type="dxa"/>
                </w:tcPr>
                <w:p w14:paraId="1DDE40C9" w14:textId="77777777" w:rsidR="00BB62F4" w:rsidRDefault="00000000">
                  <w:r>
                    <w:t>2.5.f.ii Definition of beneficial owner</w:t>
                  </w:r>
                </w:p>
                <w:p w14:paraId="726816B0" w14:textId="77777777" w:rsidR="00BB62F4" w:rsidRDefault="00000000">
                  <w:pPr>
                    <w:rPr>
                      <w:i/>
                      <w:iCs/>
                    </w:rPr>
                  </w:pPr>
                  <w:r>
                    <w:rPr>
                      <w:i/>
                      <w:iCs/>
                    </w:rPr>
                    <w:t>Required</w:t>
                  </w:r>
                </w:p>
              </w:tc>
              <w:tc>
                <w:tcPr>
                  <w:tcW w:w="6736" w:type="dxa"/>
                </w:tcPr>
                <w:p w14:paraId="1E3B5C92" w14:textId="77777777" w:rsidR="00BB62F4" w:rsidRDefault="00BB62F4"/>
              </w:tc>
            </w:tr>
            <w:tr w:rsidR="00BB62F4" w14:paraId="30CABE09" w14:textId="77777777">
              <w:tc>
                <w:tcPr>
                  <w:tcW w:w="2100" w:type="dxa"/>
                </w:tcPr>
                <w:p w14:paraId="4C0D1B2D" w14:textId="77777777" w:rsidR="00BB62F4" w:rsidRDefault="00000000">
                  <w:r>
                    <w:t>2.5.b Government’s policy on BO</w:t>
                  </w:r>
                </w:p>
                <w:p w14:paraId="2DD871D4" w14:textId="77777777" w:rsidR="00BB62F4" w:rsidRDefault="00000000">
                  <w:pPr>
                    <w:rPr>
                      <w:i/>
                      <w:iCs/>
                    </w:rPr>
                  </w:pPr>
                  <w:r>
                    <w:rPr>
                      <w:i/>
                      <w:iCs/>
                    </w:rPr>
                    <w:t>Required</w:t>
                  </w:r>
                </w:p>
              </w:tc>
              <w:tc>
                <w:tcPr>
                  <w:tcW w:w="6736" w:type="dxa"/>
                </w:tcPr>
                <w:p w14:paraId="63939BBE" w14:textId="77777777" w:rsidR="00BB62F4" w:rsidRDefault="00BB62F4"/>
              </w:tc>
            </w:tr>
            <w:tr w:rsidR="00BB62F4" w14:paraId="1B4191BD" w14:textId="77777777">
              <w:tc>
                <w:tcPr>
                  <w:tcW w:w="2100" w:type="dxa"/>
                </w:tcPr>
                <w:p w14:paraId="6CE93C54" w14:textId="77777777" w:rsidR="00BB62F4" w:rsidRDefault="00000000">
                  <w:r>
                    <w:t>2.5.c BO Disclosure</w:t>
                  </w:r>
                </w:p>
                <w:p w14:paraId="4ABC5348" w14:textId="77777777" w:rsidR="00BB62F4" w:rsidRDefault="00000000">
                  <w:pPr>
                    <w:rPr>
                      <w:i/>
                      <w:iCs/>
                    </w:rPr>
                  </w:pPr>
                  <w:r>
                    <w:rPr>
                      <w:i/>
                      <w:iCs/>
                    </w:rPr>
                    <w:t>Required</w:t>
                  </w:r>
                </w:p>
              </w:tc>
              <w:tc>
                <w:tcPr>
                  <w:tcW w:w="6736" w:type="dxa"/>
                </w:tcPr>
                <w:p w14:paraId="35D3D93C" w14:textId="77777777" w:rsidR="00BB62F4" w:rsidRDefault="00BB62F4"/>
              </w:tc>
            </w:tr>
            <w:tr w:rsidR="00BB62F4" w14:paraId="2FB9CF4E" w14:textId="77777777">
              <w:tc>
                <w:tcPr>
                  <w:tcW w:w="2100" w:type="dxa"/>
                </w:tcPr>
                <w:p w14:paraId="3D80C951" w14:textId="77777777" w:rsidR="00BB62F4" w:rsidRDefault="00000000">
                  <w:r>
                    <w:t>2.5.d Information on BO</w:t>
                  </w:r>
                </w:p>
                <w:p w14:paraId="10B7F11C" w14:textId="77777777" w:rsidR="00BB62F4" w:rsidRDefault="00000000">
                  <w:pPr>
                    <w:rPr>
                      <w:i/>
                      <w:iCs/>
                    </w:rPr>
                  </w:pPr>
                  <w:r>
                    <w:rPr>
                      <w:i/>
                      <w:iCs/>
                    </w:rPr>
                    <w:t>Required</w:t>
                  </w:r>
                </w:p>
              </w:tc>
              <w:tc>
                <w:tcPr>
                  <w:tcW w:w="6736" w:type="dxa"/>
                </w:tcPr>
                <w:p w14:paraId="7BA979FD" w14:textId="77777777" w:rsidR="00BB62F4" w:rsidRDefault="00BB62F4"/>
              </w:tc>
            </w:tr>
            <w:tr w:rsidR="00BB62F4" w14:paraId="13669D85" w14:textId="77777777">
              <w:tc>
                <w:tcPr>
                  <w:tcW w:w="2100" w:type="dxa"/>
                </w:tcPr>
                <w:p w14:paraId="0652A880" w14:textId="77777777" w:rsidR="00BB62F4" w:rsidRDefault="00000000">
                  <w:r>
                    <w:t>2.5.e Reliability</w:t>
                  </w:r>
                </w:p>
                <w:p w14:paraId="2C16DCB7" w14:textId="77777777" w:rsidR="00BB62F4" w:rsidRDefault="00000000">
                  <w:pPr>
                    <w:rPr>
                      <w:i/>
                      <w:iCs/>
                    </w:rPr>
                  </w:pPr>
                  <w:r>
                    <w:rPr>
                      <w:i/>
                      <w:iCs/>
                    </w:rPr>
                    <w:t>Required</w:t>
                  </w:r>
                </w:p>
              </w:tc>
              <w:tc>
                <w:tcPr>
                  <w:tcW w:w="6736" w:type="dxa"/>
                </w:tcPr>
                <w:p w14:paraId="041E2463" w14:textId="77777777" w:rsidR="00BB62F4" w:rsidRDefault="00BB62F4"/>
              </w:tc>
            </w:tr>
            <w:tr w:rsidR="00BB62F4" w14:paraId="45B42665" w14:textId="77777777">
              <w:tc>
                <w:tcPr>
                  <w:tcW w:w="2100" w:type="dxa"/>
                </w:tcPr>
                <w:p w14:paraId="62B5A997" w14:textId="77777777" w:rsidR="00BB62F4" w:rsidRDefault="00000000">
                  <w:r>
                    <w:t>2.5.f.iii Publicly listed companies</w:t>
                  </w:r>
                </w:p>
                <w:p w14:paraId="6E38017C" w14:textId="77777777" w:rsidR="00BB62F4" w:rsidRDefault="00000000">
                  <w:pPr>
                    <w:rPr>
                      <w:i/>
                      <w:iCs/>
                    </w:rPr>
                  </w:pPr>
                  <w:r>
                    <w:rPr>
                      <w:i/>
                      <w:iCs/>
                    </w:rPr>
                    <w:t>Required</w:t>
                  </w:r>
                </w:p>
              </w:tc>
              <w:tc>
                <w:tcPr>
                  <w:tcW w:w="6736" w:type="dxa"/>
                </w:tcPr>
                <w:p w14:paraId="759DE702" w14:textId="77777777" w:rsidR="00BB62F4" w:rsidRDefault="00BB62F4"/>
              </w:tc>
            </w:tr>
            <w:tr w:rsidR="00BB62F4" w14:paraId="43FE2DDC" w14:textId="77777777">
              <w:tc>
                <w:tcPr>
                  <w:tcW w:w="2100" w:type="dxa"/>
                </w:tcPr>
                <w:p w14:paraId="2B31D579" w14:textId="77777777" w:rsidR="00BB62F4" w:rsidRDefault="00000000">
                  <w:r>
                    <w:t>2.5.f.iii – Review of quality of stock exchange filings of publicly listed companies</w:t>
                  </w:r>
                </w:p>
                <w:p w14:paraId="31D74233" w14:textId="77777777" w:rsidR="00BB62F4" w:rsidRDefault="00000000">
                  <w:pPr>
                    <w:rPr>
                      <w:i/>
                      <w:iCs/>
                    </w:rPr>
                  </w:pPr>
                  <w:r>
                    <w:rPr>
                      <w:i/>
                      <w:iCs/>
                    </w:rPr>
                    <w:t>Encouraged</w:t>
                  </w:r>
                </w:p>
              </w:tc>
              <w:tc>
                <w:tcPr>
                  <w:tcW w:w="6736" w:type="dxa"/>
                </w:tcPr>
                <w:p w14:paraId="2A135DB2" w14:textId="77777777" w:rsidR="00BB62F4" w:rsidRDefault="00BB62F4"/>
              </w:tc>
            </w:tr>
            <w:tr w:rsidR="00BB62F4" w14:paraId="1D766156" w14:textId="77777777">
              <w:tc>
                <w:tcPr>
                  <w:tcW w:w="2100" w:type="dxa"/>
                </w:tcPr>
                <w:p w14:paraId="0932339B" w14:textId="77777777" w:rsidR="00BB62F4" w:rsidRDefault="00000000">
                  <w:r>
                    <w:t>2.5.f.iv – Joint ventures</w:t>
                  </w:r>
                </w:p>
                <w:p w14:paraId="65F27D40" w14:textId="77777777" w:rsidR="00BB62F4" w:rsidRDefault="00000000">
                  <w:pPr>
                    <w:rPr>
                      <w:i/>
                      <w:iCs/>
                    </w:rPr>
                  </w:pPr>
                  <w:r>
                    <w:rPr>
                      <w:i/>
                      <w:iCs/>
                    </w:rPr>
                    <w:t>Required</w:t>
                  </w:r>
                </w:p>
              </w:tc>
              <w:tc>
                <w:tcPr>
                  <w:tcW w:w="6736" w:type="dxa"/>
                </w:tcPr>
                <w:p w14:paraId="22BBE614" w14:textId="77777777" w:rsidR="00BB62F4" w:rsidRDefault="00BB62F4"/>
              </w:tc>
            </w:tr>
            <w:tr w:rsidR="00BB62F4" w14:paraId="4BF99154" w14:textId="77777777">
              <w:tc>
                <w:tcPr>
                  <w:tcW w:w="2100" w:type="dxa"/>
                </w:tcPr>
                <w:p w14:paraId="6180F270" w14:textId="77777777" w:rsidR="00BB62F4" w:rsidRDefault="00000000">
                  <w:r>
                    <w:t>2.5.f.v – Ownership of SOEs</w:t>
                  </w:r>
                </w:p>
                <w:p w14:paraId="2AE1967E" w14:textId="77777777" w:rsidR="00BB62F4" w:rsidRDefault="00000000">
                  <w:pPr>
                    <w:rPr>
                      <w:i/>
                      <w:iCs/>
                    </w:rPr>
                  </w:pPr>
                  <w:r>
                    <w:rPr>
                      <w:i/>
                      <w:iCs/>
                    </w:rPr>
                    <w:t>Required</w:t>
                  </w:r>
                </w:p>
              </w:tc>
              <w:tc>
                <w:tcPr>
                  <w:tcW w:w="6736" w:type="dxa"/>
                </w:tcPr>
                <w:p w14:paraId="2B573784" w14:textId="77777777" w:rsidR="00BB62F4" w:rsidRDefault="00BB62F4"/>
              </w:tc>
            </w:tr>
            <w:tr w:rsidR="00BB62F4" w14:paraId="25F245F9" w14:textId="77777777">
              <w:tc>
                <w:tcPr>
                  <w:tcW w:w="2100" w:type="dxa"/>
                </w:tcPr>
                <w:p w14:paraId="40491D35" w14:textId="77777777" w:rsidR="00BB62F4" w:rsidRDefault="00000000">
                  <w:r>
                    <w:lastRenderedPageBreak/>
                    <w:t>2.5.a Public BO register</w:t>
                  </w:r>
                </w:p>
                <w:p w14:paraId="4FF23DFD" w14:textId="77777777" w:rsidR="00BB62F4" w:rsidRDefault="00000000">
                  <w:pPr>
                    <w:rPr>
                      <w:i/>
                      <w:iCs/>
                    </w:rPr>
                  </w:pPr>
                  <w:r>
                    <w:rPr>
                      <w:i/>
                      <w:iCs/>
                    </w:rPr>
                    <w:t>Encouraged</w:t>
                  </w:r>
                </w:p>
              </w:tc>
              <w:tc>
                <w:tcPr>
                  <w:tcW w:w="6736" w:type="dxa"/>
                </w:tcPr>
                <w:p w14:paraId="1B40F48B" w14:textId="77777777" w:rsidR="00BB62F4" w:rsidRDefault="00BB62F4"/>
              </w:tc>
            </w:tr>
            <w:tr w:rsidR="00BB62F4" w14:paraId="5A5F5106" w14:textId="77777777">
              <w:tc>
                <w:tcPr>
                  <w:tcW w:w="2100" w:type="dxa"/>
                </w:tcPr>
                <w:p w14:paraId="5A733440" w14:textId="77777777" w:rsidR="00BB62F4" w:rsidRDefault="00000000">
                  <w:r>
                    <w:t>2.5.f.ii – 10% Threshold</w:t>
                  </w:r>
                </w:p>
                <w:p w14:paraId="10A87071" w14:textId="77777777" w:rsidR="00BB62F4" w:rsidRDefault="00000000">
                  <w:pPr>
                    <w:rPr>
                      <w:i/>
                      <w:iCs/>
                    </w:rPr>
                  </w:pPr>
                  <w:r>
                    <w:rPr>
                      <w:i/>
                      <w:iCs/>
                    </w:rPr>
                    <w:t>Encouraged</w:t>
                  </w:r>
                </w:p>
              </w:tc>
              <w:tc>
                <w:tcPr>
                  <w:tcW w:w="6736" w:type="dxa"/>
                </w:tcPr>
                <w:p w14:paraId="28EE55D3" w14:textId="77777777" w:rsidR="00BB62F4" w:rsidRDefault="00BB62F4"/>
              </w:tc>
            </w:tr>
            <w:tr w:rsidR="00BB62F4" w14:paraId="16EEFFDF" w14:textId="77777777">
              <w:tc>
                <w:tcPr>
                  <w:tcW w:w="2100" w:type="dxa"/>
                </w:tcPr>
                <w:p w14:paraId="15B43710" w14:textId="77777777" w:rsidR="00BB62F4" w:rsidRDefault="00000000">
                  <w:r>
                    <w:t>2.5.d – additional information on the beneficial owners</w:t>
                  </w:r>
                </w:p>
                <w:p w14:paraId="3DB11929" w14:textId="77777777" w:rsidR="00BB62F4" w:rsidRDefault="00000000">
                  <w:pPr>
                    <w:rPr>
                      <w:i/>
                      <w:iCs/>
                    </w:rPr>
                  </w:pPr>
                  <w:r>
                    <w:rPr>
                      <w:i/>
                      <w:iCs/>
                    </w:rPr>
                    <w:t>Encouraged</w:t>
                  </w:r>
                </w:p>
              </w:tc>
              <w:tc>
                <w:tcPr>
                  <w:tcW w:w="6736" w:type="dxa"/>
                </w:tcPr>
                <w:p w14:paraId="4E1F0426" w14:textId="77777777" w:rsidR="00BB62F4" w:rsidRDefault="00BB62F4"/>
              </w:tc>
            </w:tr>
            <w:tr w:rsidR="00BB62F4" w14:paraId="5550ED83" w14:textId="77777777">
              <w:tc>
                <w:tcPr>
                  <w:tcW w:w="2100" w:type="dxa"/>
                </w:tcPr>
                <w:p w14:paraId="69DACE39" w14:textId="77777777" w:rsidR="00BB62F4" w:rsidRDefault="00000000">
                  <w:r>
                    <w:t xml:space="preserve">2.5.g </w:t>
                  </w:r>
                  <w:proofErr w:type="gramStart"/>
                  <w:r>
                    <w:t>-  Ownership</w:t>
                  </w:r>
                  <w:proofErr w:type="gramEnd"/>
                  <w:r>
                    <w:t xml:space="preserve"> structure</w:t>
                  </w:r>
                </w:p>
                <w:p w14:paraId="0A26541A" w14:textId="77777777" w:rsidR="00BB62F4" w:rsidRDefault="00000000">
                  <w:pPr>
                    <w:rPr>
                      <w:i/>
                      <w:iCs/>
                    </w:rPr>
                  </w:pPr>
                  <w:r>
                    <w:rPr>
                      <w:i/>
                      <w:iCs/>
                    </w:rPr>
                    <w:t>Encouraged</w:t>
                  </w:r>
                </w:p>
              </w:tc>
              <w:tc>
                <w:tcPr>
                  <w:tcW w:w="6736" w:type="dxa"/>
                </w:tcPr>
                <w:p w14:paraId="7B75126E" w14:textId="77777777" w:rsidR="00BB62F4" w:rsidRDefault="00BB62F4"/>
              </w:tc>
            </w:tr>
            <w:tr w:rsidR="00BB62F4" w14:paraId="79AAEB7D" w14:textId="77777777">
              <w:tc>
                <w:tcPr>
                  <w:tcW w:w="2100" w:type="dxa"/>
                </w:tcPr>
                <w:p w14:paraId="1CB495A1" w14:textId="77777777" w:rsidR="00BB62F4" w:rsidRDefault="00000000">
                  <w:r>
                    <w:t>Any other observations</w:t>
                  </w:r>
                </w:p>
              </w:tc>
              <w:tc>
                <w:tcPr>
                  <w:tcW w:w="6736" w:type="dxa"/>
                </w:tcPr>
                <w:p w14:paraId="56DD0F90" w14:textId="77777777" w:rsidR="00BB62F4" w:rsidRDefault="00BB62F4"/>
              </w:tc>
            </w:tr>
            <w:tr w:rsidR="00BB62F4" w14:paraId="64B25557" w14:textId="77777777">
              <w:tc>
                <w:tcPr>
                  <w:tcW w:w="2100" w:type="dxa"/>
                </w:tcPr>
                <w:p w14:paraId="2D1914FF" w14:textId="77777777" w:rsidR="00BB62F4" w:rsidRDefault="00000000">
                  <w:r>
                    <w:t>Relevance of data when linked to ongoing issues/reforms in the country</w:t>
                  </w:r>
                </w:p>
              </w:tc>
              <w:tc>
                <w:tcPr>
                  <w:tcW w:w="6736" w:type="dxa"/>
                </w:tcPr>
                <w:p w14:paraId="36473468" w14:textId="77777777" w:rsidR="00BB62F4" w:rsidRDefault="00BB62F4"/>
              </w:tc>
            </w:tr>
            <w:tr w:rsidR="00BB62F4" w14:paraId="4AE54A5E" w14:textId="77777777">
              <w:tc>
                <w:tcPr>
                  <w:tcW w:w="2100" w:type="dxa"/>
                </w:tcPr>
                <w:p w14:paraId="2880E976" w14:textId="77777777" w:rsidR="00BB62F4" w:rsidRDefault="00000000">
                  <w:r>
                    <w:t>On availability of systematic disclosures</w:t>
                  </w:r>
                </w:p>
              </w:tc>
              <w:tc>
                <w:tcPr>
                  <w:tcW w:w="6736" w:type="dxa"/>
                </w:tcPr>
                <w:p w14:paraId="74891B32" w14:textId="77777777" w:rsidR="00BB62F4" w:rsidRDefault="00BB62F4"/>
              </w:tc>
            </w:tr>
            <w:tr w:rsidR="00BB62F4" w14:paraId="07ED1038" w14:textId="77777777">
              <w:tc>
                <w:tcPr>
                  <w:tcW w:w="2100" w:type="dxa"/>
                </w:tcPr>
                <w:p w14:paraId="5962E611" w14:textId="77777777" w:rsidR="00BB62F4" w:rsidRDefault="00000000">
                  <w:r>
                    <w:t>On the timeliness of disclosures</w:t>
                  </w:r>
                </w:p>
              </w:tc>
              <w:tc>
                <w:tcPr>
                  <w:tcW w:w="6736" w:type="dxa"/>
                </w:tcPr>
                <w:p w14:paraId="422105EC" w14:textId="77777777" w:rsidR="00BB62F4" w:rsidRDefault="00BB62F4"/>
              </w:tc>
            </w:tr>
            <w:tr w:rsidR="00BB62F4" w14:paraId="72123327" w14:textId="77777777">
              <w:tc>
                <w:tcPr>
                  <w:tcW w:w="2100" w:type="dxa"/>
                </w:tcPr>
                <w:p w14:paraId="2C93F3E2" w14:textId="77777777" w:rsidR="00BB62F4" w:rsidRDefault="00000000">
                  <w:r>
                    <w:t>On open format of disclosures</w:t>
                  </w:r>
                </w:p>
              </w:tc>
              <w:tc>
                <w:tcPr>
                  <w:tcW w:w="6736" w:type="dxa"/>
                </w:tcPr>
                <w:p w14:paraId="43000024" w14:textId="77777777" w:rsidR="00BB62F4" w:rsidRDefault="00BB62F4"/>
              </w:tc>
            </w:tr>
          </w:tbl>
          <w:p w14:paraId="3F414359" w14:textId="77777777" w:rsidR="00BB62F4" w:rsidRDefault="00BB62F4">
            <w:pPr>
              <w:rPr>
                <w:i/>
                <w:iCs/>
              </w:rPr>
            </w:pPr>
          </w:p>
        </w:tc>
      </w:tr>
    </w:tbl>
    <w:p w14:paraId="2B96BE3A" w14:textId="77777777" w:rsidR="00BB62F4" w:rsidRDefault="00BB62F4"/>
    <w:p w14:paraId="510C8E83" w14:textId="77777777" w:rsidR="00BB62F4" w:rsidRDefault="00BB62F4"/>
    <w:p w14:paraId="69C41074" w14:textId="77777777" w:rsidR="00BB62F4" w:rsidRDefault="00BB62F4"/>
    <w:p w14:paraId="21B81C51" w14:textId="77777777" w:rsidR="00BB62F4" w:rsidRDefault="00000000">
      <w:pPr>
        <w:spacing w:before="0" w:after="0"/>
      </w:pPr>
      <w:r>
        <w:br w:type="page"/>
      </w:r>
    </w:p>
    <w:p w14:paraId="2F2311AA" w14:textId="77777777" w:rsidR="00BB62F4" w:rsidRDefault="00BB62F4">
      <w:pPr>
        <w:spacing w:before="0" w:after="0"/>
      </w:pPr>
    </w:p>
    <w:p w14:paraId="6F69701C" w14:textId="77777777" w:rsidR="00BB62F4" w:rsidRDefault="00000000">
      <w:pPr>
        <w:pStyle w:val="Heading1"/>
      </w:pPr>
      <w:bookmarkStart w:id="41" w:name="_heading=h.itfhspdi738s" w:colFirst="0" w:colLast="0"/>
      <w:bookmarkEnd w:id="41"/>
      <w:r>
        <w:rPr>
          <w:highlight w:val="cyan"/>
        </w:rPr>
        <w:t>For Validation</w:t>
      </w:r>
      <w:r>
        <w:t>: MSG sign-off</w:t>
      </w:r>
    </w:p>
    <w:p w14:paraId="3AFEDBB5" w14:textId="77777777" w:rsidR="00BB62F4" w:rsidRDefault="00000000">
      <w:pPr>
        <w:rPr>
          <w:b/>
          <w:bCs/>
        </w:rPr>
      </w:pPr>
      <w:r>
        <w:rPr>
          <w:b/>
          <w:bCs/>
        </w:rPr>
        <w:t>Please include below the names and contact details of the constituency leads who submit this information on behalf of their constituency. Add rows as needed. </w:t>
      </w:r>
    </w:p>
    <w:tbl>
      <w:tblPr>
        <w:tblStyle w:val="afff3"/>
        <w:tblW w:w="903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75"/>
        <w:gridCol w:w="3090"/>
        <w:gridCol w:w="3465"/>
      </w:tblGrid>
      <w:tr w:rsidR="00BB62F4" w14:paraId="0C2D7FA4" w14:textId="77777777">
        <w:trPr>
          <w:trHeight w:val="300"/>
        </w:trPr>
        <w:tc>
          <w:tcPr>
            <w:tcW w:w="2475" w:type="dxa"/>
            <w:tcBorders>
              <w:top w:val="single" w:sz="6" w:space="0" w:color="000000"/>
              <w:left w:val="single" w:sz="6" w:space="0" w:color="000000"/>
              <w:bottom w:val="single" w:sz="6" w:space="0" w:color="000000"/>
              <w:right w:val="single" w:sz="6" w:space="0" w:color="000000"/>
            </w:tcBorders>
            <w:shd w:val="clear" w:color="auto" w:fill="B4C6E7"/>
          </w:tcPr>
          <w:p w14:paraId="5E3F7A35" w14:textId="77777777" w:rsidR="00BB62F4" w:rsidRDefault="00000000">
            <w:pPr>
              <w:rPr>
                <w:b/>
                <w:bCs/>
              </w:rPr>
            </w:pPr>
            <w:r>
              <w:rPr>
                <w:b/>
                <w:bCs/>
              </w:rPr>
              <w:t>Name </w:t>
            </w:r>
          </w:p>
        </w:tc>
        <w:tc>
          <w:tcPr>
            <w:tcW w:w="3090" w:type="dxa"/>
            <w:tcBorders>
              <w:top w:val="single" w:sz="6" w:space="0" w:color="000000"/>
              <w:left w:val="single" w:sz="6" w:space="0" w:color="000000"/>
              <w:bottom w:val="single" w:sz="6" w:space="0" w:color="000000"/>
              <w:right w:val="single" w:sz="6" w:space="0" w:color="000000"/>
            </w:tcBorders>
            <w:shd w:val="clear" w:color="auto" w:fill="B4C6E7"/>
          </w:tcPr>
          <w:p w14:paraId="444019B9" w14:textId="77777777" w:rsidR="00BB62F4" w:rsidRDefault="00000000">
            <w:pPr>
              <w:rPr>
                <w:b/>
                <w:bCs/>
              </w:rPr>
            </w:pPr>
            <w:r>
              <w:rPr>
                <w:b/>
                <w:bCs/>
              </w:rPr>
              <w:t>On behalf of </w:t>
            </w:r>
          </w:p>
        </w:tc>
        <w:tc>
          <w:tcPr>
            <w:tcW w:w="3465" w:type="dxa"/>
            <w:tcBorders>
              <w:top w:val="single" w:sz="6" w:space="0" w:color="000000"/>
              <w:left w:val="single" w:sz="6" w:space="0" w:color="000000"/>
              <w:bottom w:val="single" w:sz="6" w:space="0" w:color="000000"/>
              <w:right w:val="single" w:sz="6" w:space="0" w:color="000000"/>
            </w:tcBorders>
            <w:shd w:val="clear" w:color="auto" w:fill="B4C6E7"/>
          </w:tcPr>
          <w:p w14:paraId="6A279935" w14:textId="77777777" w:rsidR="00BB62F4" w:rsidRDefault="00000000">
            <w:pPr>
              <w:rPr>
                <w:b/>
                <w:bCs/>
              </w:rPr>
            </w:pPr>
            <w:r>
              <w:rPr>
                <w:b/>
                <w:bCs/>
              </w:rPr>
              <w:t>Email address or telephone number </w:t>
            </w:r>
          </w:p>
        </w:tc>
      </w:tr>
      <w:tr w:rsidR="00BB62F4" w14:paraId="088B98A4" w14:textId="77777777">
        <w:trPr>
          <w:trHeight w:val="300"/>
        </w:trPr>
        <w:tc>
          <w:tcPr>
            <w:tcW w:w="2475" w:type="dxa"/>
            <w:tcBorders>
              <w:top w:val="single" w:sz="6" w:space="0" w:color="000000"/>
              <w:left w:val="single" w:sz="6" w:space="0" w:color="000000"/>
              <w:bottom w:val="single" w:sz="6" w:space="0" w:color="000000"/>
              <w:right w:val="single" w:sz="6" w:space="0" w:color="000000"/>
            </w:tcBorders>
          </w:tcPr>
          <w:p w14:paraId="488673F2" w14:textId="77777777" w:rsidR="00BB62F4" w:rsidRDefault="00000000">
            <w:pPr>
              <w:rPr>
                <w:b/>
                <w:bCs/>
              </w:rPr>
            </w:pPr>
            <w:r>
              <w:rPr>
                <w:b/>
                <w:bCs/>
              </w:rPr>
              <w:t> </w:t>
            </w:r>
          </w:p>
        </w:tc>
        <w:tc>
          <w:tcPr>
            <w:tcW w:w="3090" w:type="dxa"/>
            <w:tcBorders>
              <w:top w:val="single" w:sz="6" w:space="0" w:color="000000"/>
              <w:left w:val="single" w:sz="6" w:space="0" w:color="000000"/>
              <w:bottom w:val="single" w:sz="6" w:space="0" w:color="000000"/>
              <w:right w:val="single" w:sz="6" w:space="0" w:color="000000"/>
            </w:tcBorders>
          </w:tcPr>
          <w:p w14:paraId="691ADBAF" w14:textId="77777777" w:rsidR="00BB62F4" w:rsidRDefault="00000000">
            <w:pPr>
              <w:rPr>
                <w:b/>
                <w:bCs/>
              </w:rPr>
            </w:pPr>
            <w:r>
              <w:rPr>
                <w:b/>
                <w:bCs/>
              </w:rPr>
              <w:t>Government </w:t>
            </w:r>
          </w:p>
        </w:tc>
        <w:tc>
          <w:tcPr>
            <w:tcW w:w="3465" w:type="dxa"/>
            <w:tcBorders>
              <w:top w:val="single" w:sz="6" w:space="0" w:color="000000"/>
              <w:left w:val="single" w:sz="6" w:space="0" w:color="000000"/>
              <w:bottom w:val="single" w:sz="6" w:space="0" w:color="000000"/>
              <w:right w:val="single" w:sz="6" w:space="0" w:color="000000"/>
            </w:tcBorders>
          </w:tcPr>
          <w:p w14:paraId="466AC16F" w14:textId="77777777" w:rsidR="00BB62F4" w:rsidRDefault="00000000">
            <w:pPr>
              <w:rPr>
                <w:b/>
                <w:bCs/>
              </w:rPr>
            </w:pPr>
            <w:r>
              <w:rPr>
                <w:b/>
                <w:bCs/>
              </w:rPr>
              <w:t> </w:t>
            </w:r>
          </w:p>
        </w:tc>
      </w:tr>
      <w:tr w:rsidR="00BB62F4" w14:paraId="40CC1C25" w14:textId="77777777">
        <w:trPr>
          <w:trHeight w:val="300"/>
        </w:trPr>
        <w:tc>
          <w:tcPr>
            <w:tcW w:w="2475" w:type="dxa"/>
            <w:tcBorders>
              <w:top w:val="single" w:sz="6" w:space="0" w:color="000000"/>
              <w:left w:val="single" w:sz="6" w:space="0" w:color="000000"/>
              <w:bottom w:val="single" w:sz="6" w:space="0" w:color="000000"/>
              <w:right w:val="single" w:sz="6" w:space="0" w:color="000000"/>
            </w:tcBorders>
          </w:tcPr>
          <w:p w14:paraId="6E6B92D5" w14:textId="77777777" w:rsidR="00BB62F4" w:rsidRDefault="00000000">
            <w:pPr>
              <w:rPr>
                <w:b/>
                <w:bCs/>
              </w:rPr>
            </w:pPr>
            <w:r>
              <w:rPr>
                <w:b/>
                <w:bCs/>
              </w:rPr>
              <w:t> </w:t>
            </w:r>
          </w:p>
        </w:tc>
        <w:tc>
          <w:tcPr>
            <w:tcW w:w="3090" w:type="dxa"/>
            <w:tcBorders>
              <w:top w:val="single" w:sz="6" w:space="0" w:color="000000"/>
              <w:left w:val="single" w:sz="6" w:space="0" w:color="000000"/>
              <w:bottom w:val="single" w:sz="6" w:space="0" w:color="000000"/>
              <w:right w:val="single" w:sz="6" w:space="0" w:color="000000"/>
            </w:tcBorders>
          </w:tcPr>
          <w:p w14:paraId="2FECEB9E" w14:textId="77777777" w:rsidR="00BB62F4" w:rsidRDefault="00000000">
            <w:pPr>
              <w:rPr>
                <w:b/>
                <w:bCs/>
              </w:rPr>
            </w:pPr>
            <w:r>
              <w:rPr>
                <w:b/>
                <w:bCs/>
              </w:rPr>
              <w:t>Companies </w:t>
            </w:r>
          </w:p>
        </w:tc>
        <w:tc>
          <w:tcPr>
            <w:tcW w:w="3465" w:type="dxa"/>
            <w:tcBorders>
              <w:top w:val="single" w:sz="6" w:space="0" w:color="000000"/>
              <w:left w:val="single" w:sz="6" w:space="0" w:color="000000"/>
              <w:bottom w:val="single" w:sz="6" w:space="0" w:color="000000"/>
              <w:right w:val="single" w:sz="6" w:space="0" w:color="000000"/>
            </w:tcBorders>
          </w:tcPr>
          <w:p w14:paraId="2F17D827" w14:textId="77777777" w:rsidR="00BB62F4" w:rsidRDefault="00000000">
            <w:pPr>
              <w:rPr>
                <w:b/>
                <w:bCs/>
              </w:rPr>
            </w:pPr>
            <w:r>
              <w:rPr>
                <w:b/>
                <w:bCs/>
              </w:rPr>
              <w:t> </w:t>
            </w:r>
          </w:p>
        </w:tc>
      </w:tr>
      <w:tr w:rsidR="00BB62F4" w14:paraId="52EDC511" w14:textId="77777777">
        <w:trPr>
          <w:trHeight w:val="300"/>
        </w:trPr>
        <w:tc>
          <w:tcPr>
            <w:tcW w:w="2475" w:type="dxa"/>
            <w:tcBorders>
              <w:top w:val="single" w:sz="6" w:space="0" w:color="000000"/>
              <w:left w:val="single" w:sz="6" w:space="0" w:color="000000"/>
              <w:bottom w:val="single" w:sz="6" w:space="0" w:color="000000"/>
              <w:right w:val="single" w:sz="6" w:space="0" w:color="000000"/>
            </w:tcBorders>
          </w:tcPr>
          <w:p w14:paraId="71609852" w14:textId="77777777" w:rsidR="00BB62F4" w:rsidRDefault="00000000">
            <w:pPr>
              <w:rPr>
                <w:b/>
                <w:bCs/>
              </w:rPr>
            </w:pPr>
            <w:r>
              <w:rPr>
                <w:b/>
                <w:bCs/>
              </w:rPr>
              <w:t> </w:t>
            </w:r>
          </w:p>
        </w:tc>
        <w:tc>
          <w:tcPr>
            <w:tcW w:w="3090" w:type="dxa"/>
            <w:tcBorders>
              <w:top w:val="single" w:sz="6" w:space="0" w:color="000000"/>
              <w:left w:val="single" w:sz="6" w:space="0" w:color="000000"/>
              <w:bottom w:val="single" w:sz="6" w:space="0" w:color="000000"/>
              <w:right w:val="single" w:sz="6" w:space="0" w:color="000000"/>
            </w:tcBorders>
          </w:tcPr>
          <w:p w14:paraId="21C07CAC" w14:textId="77777777" w:rsidR="00BB62F4" w:rsidRDefault="00000000">
            <w:pPr>
              <w:rPr>
                <w:b/>
                <w:bCs/>
              </w:rPr>
            </w:pPr>
            <w:r>
              <w:rPr>
                <w:b/>
                <w:bCs/>
              </w:rPr>
              <w:t>Civil society </w:t>
            </w:r>
          </w:p>
        </w:tc>
        <w:tc>
          <w:tcPr>
            <w:tcW w:w="3465" w:type="dxa"/>
            <w:tcBorders>
              <w:top w:val="single" w:sz="6" w:space="0" w:color="000000"/>
              <w:left w:val="single" w:sz="6" w:space="0" w:color="000000"/>
              <w:bottom w:val="single" w:sz="6" w:space="0" w:color="000000"/>
              <w:right w:val="single" w:sz="6" w:space="0" w:color="000000"/>
            </w:tcBorders>
          </w:tcPr>
          <w:p w14:paraId="707BA820" w14:textId="77777777" w:rsidR="00BB62F4" w:rsidRDefault="00000000">
            <w:pPr>
              <w:rPr>
                <w:b/>
                <w:bCs/>
              </w:rPr>
            </w:pPr>
            <w:r>
              <w:rPr>
                <w:b/>
                <w:bCs/>
              </w:rPr>
              <w:t> </w:t>
            </w:r>
          </w:p>
        </w:tc>
      </w:tr>
    </w:tbl>
    <w:p w14:paraId="06ADF751" w14:textId="77777777" w:rsidR="00BB62F4" w:rsidRDefault="00BB62F4">
      <w:pPr>
        <w:rPr>
          <w:b/>
          <w:bCs/>
        </w:rPr>
      </w:pPr>
    </w:p>
    <w:p w14:paraId="5AF5A59B" w14:textId="77777777" w:rsidR="00BB62F4" w:rsidRDefault="00000000">
      <w:pPr>
        <w:rPr>
          <w:b/>
          <w:bCs/>
        </w:rPr>
      </w:pPr>
      <w:r>
        <w:rPr>
          <w:b/>
          <w:bCs/>
        </w:rPr>
        <w:t>Date of MSG sign-off</w:t>
      </w:r>
    </w:p>
    <w:p w14:paraId="1CDF1A94" w14:textId="77777777" w:rsidR="00BB62F4" w:rsidRDefault="00000000">
      <w:hyperlink r:id="rId201">
        <w:r>
          <w:rPr>
            <w:color w:val="1155CC"/>
            <w:u w:val="single"/>
            <w:shd w:val="clear" w:color="auto" w:fill="D9E2F3"/>
          </w:rPr>
          <w:t>6th NATIONAL STAKEHOLDER WORKING GROUP (NSWG) NIGERIA'S EITI 2026 VALIDATION TEMPLATES SIGNOFF</w:t>
        </w:r>
      </w:hyperlink>
      <w:r>
        <w:rPr>
          <w:color w:val="808080"/>
          <w:shd w:val="clear" w:color="auto" w:fill="D9E2F3"/>
        </w:rPr>
        <w:t xml:space="preserve">  </w:t>
      </w:r>
    </w:p>
    <w:p w14:paraId="360B6F7E" w14:textId="77777777" w:rsidR="00BB62F4" w:rsidRDefault="00BB62F4"/>
    <w:p w14:paraId="6FC0F270" w14:textId="77777777" w:rsidR="00BB62F4" w:rsidRDefault="00BB62F4"/>
    <w:p w14:paraId="58219F55" w14:textId="77777777" w:rsidR="00BB62F4" w:rsidRDefault="00000000">
      <w:r>
        <w:t>*** Form ends</w:t>
      </w:r>
    </w:p>
    <w:p w14:paraId="1CEA6868" w14:textId="77777777" w:rsidR="00BB62F4" w:rsidRDefault="00BB62F4"/>
    <w:sectPr w:rsidR="00BB62F4">
      <w:headerReference w:type="default" r:id="rId202"/>
      <w:footerReference w:type="default" r:id="rId203"/>
      <w:headerReference w:type="first" r:id="rId204"/>
      <w:footerReference w:type="first" r:id="rId205"/>
      <w:pgSz w:w="11901" w:h="16840"/>
      <w:pgMar w:top="1418" w:right="1411" w:bottom="1418" w:left="1418" w:header="851"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ACF4C" w14:textId="77777777" w:rsidR="00453BB6" w:rsidRDefault="00453BB6">
      <w:pPr>
        <w:spacing w:before="0" w:after="0"/>
      </w:pPr>
      <w:r>
        <w:separator/>
      </w:r>
    </w:p>
  </w:endnote>
  <w:endnote w:type="continuationSeparator" w:id="0">
    <w:p w14:paraId="70B635B0" w14:textId="77777777" w:rsidR="00453BB6" w:rsidRDefault="00453B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EDC383F-E5DC-4D47-A389-AB953AEFEB30}"/>
  </w:font>
  <w:font w:name="Courier New">
    <w:panose1 w:val="02070309020205020404"/>
    <w:charset w:val="00"/>
    <w:family w:val="modern"/>
    <w:pitch w:val="fixed"/>
    <w:sig w:usb0="E0002EFF" w:usb1="C0007843" w:usb2="00000009" w:usb3="00000000" w:csb0="000001FF" w:csb1="00000000"/>
  </w:font>
  <w:font w:name="Libre Franklin">
    <w:charset w:val="00"/>
    <w:family w:val="auto"/>
    <w:pitch w:val="variable"/>
    <w:sig w:usb0="A00000FF" w:usb1="4000205B" w:usb2="00000000" w:usb3="00000000" w:csb0="00000193" w:csb1="00000000"/>
    <w:embedRegular r:id="rId2" w:fontKey="{DF3E2AB7-60F2-4F8F-8E7D-9DD59047C7AC}"/>
    <w:embedBold r:id="rId3" w:fontKey="{98DD989E-15B8-4552-A22F-E1AD5045C1A3}"/>
    <w:embedItalic r:id="rId4" w:fontKey="{5B2BDAAE-B04A-4CDB-987A-D8ABC2F7D455}"/>
    <w:embedBoldItalic r:id="rId5" w:fontKey="{27885471-3B97-4E9C-889C-0D269C21348B}"/>
  </w:font>
  <w:font w:name="Libre Franklin Medium">
    <w:charset w:val="00"/>
    <w:family w:val="auto"/>
    <w:pitch w:val="variable"/>
    <w:sig w:usb0="A00000FF" w:usb1="4000205B" w:usb2="00000000" w:usb3="00000000" w:csb0="00000193" w:csb1="00000000"/>
    <w:embedRegular r:id="rId6" w:fontKey="{F745F450-C29D-4DA4-B944-83FD61900BA7}"/>
    <w:embedBold r:id="rId7" w:fontKey="{9189570A-A9F8-4ED3-AF6D-7AC624AC0736}"/>
  </w:font>
  <w:font w:name="Calibri">
    <w:panose1 w:val="020F0502020204030204"/>
    <w:charset w:val="00"/>
    <w:family w:val="swiss"/>
    <w:pitch w:val="variable"/>
    <w:sig w:usb0="E4002EFF" w:usb1="C200247B" w:usb2="00000009" w:usb3="00000000" w:csb0="000001FF" w:csb1="00000000"/>
    <w:embedRegular r:id="rId8" w:fontKey="{58894E9F-5089-487A-A890-A7B5D45EC94A}"/>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ED17CC2B-566C-4A4F-8F97-6215369D1BBF}"/>
  </w:font>
  <w:font w:name="MS Gothic">
    <w:altName w:val="ＭＳ ゴシック"/>
    <w:panose1 w:val="020B0609070205080204"/>
    <w:charset w:val="80"/>
    <w:family w:val="modern"/>
    <w:pitch w:val="fixed"/>
    <w:sig w:usb0="E00002FF" w:usb1="6AC7FDFB" w:usb2="08000012" w:usb3="00000000" w:csb0="0002009F" w:csb1="00000000"/>
    <w:embedRegular r:id="rId10" w:subsetted="1" w:fontKey="{E1B9E776-A184-4616-B61D-FCE76E056861}"/>
    <w:embedBold r:id="rId11" w:subsetted="1" w:fontKey="{32BA8275-9E41-4BDE-82D1-F74743018668}"/>
  </w:font>
  <w:font w:name="EB Garamond">
    <w:charset w:val="00"/>
    <w:family w:val="auto"/>
    <w:pitch w:val="variable"/>
    <w:sig w:usb0="E00002FF" w:usb1="02000413" w:usb2="00000000" w:usb3="00000000" w:csb0="0000019F" w:csb1="00000000"/>
    <w:embedRegular r:id="rId12" w:fontKey="{23C3492A-1653-4E98-9CF5-60A3514A890A}"/>
    <w:embedBold r:id="rId13" w:fontKey="{1924BDFB-99FD-4915-BD4F-79EB84FCD3A2}"/>
    <w:embedItalic r:id="rId14" w:fontKey="{6E35C05B-57AF-4AF6-8F0D-A5AEAAB05225}"/>
  </w:font>
  <w:font w:name="MS Mincho">
    <w:panose1 w:val="02020609040205080304"/>
    <w:charset w:val="80"/>
    <w:family w:val="modern"/>
    <w:pitch w:val="fixed"/>
    <w:sig w:usb0="E00002FF" w:usb1="6AC7FDFB" w:usb2="08000012" w:usb3="00000000" w:csb0="0002009F" w:csb1="00000000"/>
    <w:embedRegular r:id="rId15" w:subsetted="1" w:fontKey="{CB4690F8-5FDA-483D-BEAA-0EC07AADBA2E}"/>
  </w:font>
  <w:font w:name="EB Garamond Medium">
    <w:charset w:val="00"/>
    <w:family w:val="auto"/>
    <w:pitch w:val="variable"/>
    <w:sig w:usb0="E00002FF" w:usb1="02000413" w:usb2="00000000" w:usb3="00000000" w:csb0="0000019F" w:csb1="00000000"/>
    <w:embedRegular r:id="rId16" w:fontKey="{57F2FF02-C05E-48F2-9F0E-95BF2DC5A996}"/>
    <w:embedBold r:id="rId17" w:fontKey="{BAD32F98-DE2C-4233-95AB-02DADE1ED3B6}"/>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embedRegular r:id="rId18" w:subsetted="1" w:fontKey="{86BFF6EC-8924-40A0-8C8C-A1BE72555C4F}"/>
    <w:embedBold r:id="rId19" w:subsetted="1" w:fontKey="{BD751E4C-F82E-4A5F-B266-6BFB7FF4FFDD}"/>
  </w:font>
  <w:font w:name="Quattrocento Sans">
    <w:charset w:val="00"/>
    <w:family w:val="swiss"/>
    <w:pitch w:val="variable"/>
    <w:sig w:usb0="800000BF" w:usb1="4000005B" w:usb2="00000000" w:usb3="00000000" w:csb0="00000001" w:csb1="00000000"/>
    <w:embedRegular r:id="rId20" w:fontKey="{252BAAF7-8F16-4DA2-96A8-0F4BEDBA993B}"/>
    <w:embedItalic r:id="rId21" w:fontKey="{346C7804-CA59-4B54-ADDB-F6F0AE11191D}"/>
  </w:font>
  <w:font w:name="Open Sans">
    <w:charset w:val="00"/>
    <w:family w:val="swiss"/>
    <w:pitch w:val="variable"/>
    <w:sig w:usb0="E00002EF" w:usb1="4000205B" w:usb2="00000028" w:usb3="00000000" w:csb0="0000019F" w:csb1="00000000"/>
    <w:embedRegular r:id="rId22" w:fontKey="{09ACAA57-E35D-49C4-955A-1DE2EEC53D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74A76" w14:textId="77777777" w:rsidR="00BB62F4" w:rsidRDefault="00000000">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65408" behindDoc="0" locked="0" layoutInCell="1" hidden="0" allowOverlap="1" wp14:anchorId="5A26D5EA" wp14:editId="1EE96746">
              <wp:simplePos x="0" y="0"/>
              <wp:positionH relativeFrom="column">
                <wp:posOffset>-126046</wp:posOffset>
              </wp:positionH>
              <wp:positionV relativeFrom="paragraph">
                <wp:posOffset>-312281</wp:posOffset>
              </wp:positionV>
              <wp:extent cx="6033135" cy="821055"/>
              <wp:effectExtent l="0" t="0" r="0" b="0"/>
              <wp:wrapNone/>
              <wp:docPr id="6" name="Rectangle 6"/>
              <wp:cNvGraphicFramePr/>
              <a:graphic xmlns:a="http://schemas.openxmlformats.org/drawingml/2006/main">
                <a:graphicData uri="http://schemas.microsoft.com/office/word/2010/wordprocessingShape">
                  <wps:wsp>
                    <wps:cNvSpPr/>
                    <wps:spPr>
                      <a:xfrm>
                        <a:off x="2334195" y="3374235"/>
                        <a:ext cx="6023610" cy="811530"/>
                      </a:xfrm>
                      <a:prstGeom prst="rect">
                        <a:avLst/>
                      </a:prstGeom>
                      <a:noFill/>
                      <a:ln>
                        <a:noFill/>
                      </a:ln>
                    </wps:spPr>
                    <wps:txbx>
                      <w:txbxContent>
                        <w:p w14:paraId="18DCE537" w14:textId="77777777" w:rsidR="00BB62F4" w:rsidRDefault="0000000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6D523808" w14:textId="77777777" w:rsidR="00BB62F4" w:rsidRDefault="00000000">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063C8EEF" w14:textId="77777777" w:rsidR="00BB62F4" w:rsidRDefault="00BB62F4">
                          <w:pPr>
                            <w:textDirection w:val="btLr"/>
                          </w:pPr>
                        </w:p>
                        <w:p w14:paraId="5C441C66" w14:textId="77777777" w:rsidR="00BB62F4" w:rsidRDefault="00BB62F4">
                          <w:pPr>
                            <w:textDirection w:val="btLr"/>
                          </w:pPr>
                        </w:p>
                      </w:txbxContent>
                    </wps:txbx>
                    <wps:bodyPr spcFirstLastPara="1" wrap="square" lIns="91425" tIns="45700" rIns="91425" bIns="45700" anchor="t" anchorCtr="0">
                      <a:noAutofit/>
                    </wps:bodyPr>
                  </wps:wsp>
                </a:graphicData>
              </a:graphic>
            </wp:anchor>
          </w:drawing>
        </mc:Choice>
        <mc:Fallback>
          <w:pict>
            <v:rect w14:anchorId="5A26D5EA" id="Rectangle 6" o:spid="_x0000_s1040" style="position:absolute;margin-left:-9.9pt;margin-top:-24.6pt;width:475.05pt;height:64.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" filled="f" stroked="f">
              <v:textbox inset="2.53958mm,1.2694mm,2.53958mm,1.2694mm">
                <w:txbxContent>
                  <w:p w14:paraId="18DCE537" w14:textId="77777777" w:rsidR="00BB62F4" w:rsidRDefault="0000000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6D523808" w14:textId="77777777" w:rsidR="00BB62F4" w:rsidRDefault="00000000">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063C8EEF" w14:textId="77777777" w:rsidR="00BB62F4" w:rsidRDefault="00BB62F4">
                    <w:pPr>
                      <w:textDirection w:val="btLr"/>
                    </w:pPr>
                  </w:p>
                  <w:p w14:paraId="5C441C66" w14:textId="77777777" w:rsidR="00BB62F4" w:rsidRDefault="00BB62F4">
                    <w:pPr>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7B2BA62B" wp14:editId="5492B33C">
              <wp:simplePos x="0" y="0"/>
              <wp:positionH relativeFrom="column">
                <wp:posOffset>-124140</wp:posOffset>
              </wp:positionH>
              <wp:positionV relativeFrom="paragraph">
                <wp:posOffset>-374331</wp:posOffset>
              </wp:positionV>
              <wp:extent cx="5968365" cy="440690"/>
              <wp:effectExtent l="0" t="0" r="0" b="0"/>
              <wp:wrapNone/>
              <wp:docPr id="1" name="Rectangle 1"/>
              <wp:cNvGraphicFramePr/>
              <a:graphic xmlns:a="http://schemas.openxmlformats.org/drawingml/2006/main">
                <a:graphicData uri="http://schemas.microsoft.com/office/word/2010/wordprocessingShape">
                  <wps:wsp>
                    <wps:cNvSpPr/>
                    <wps:spPr>
                      <a:xfrm>
                        <a:off x="2366580" y="3564418"/>
                        <a:ext cx="5958840" cy="431165"/>
                      </a:xfrm>
                      <a:prstGeom prst="rect">
                        <a:avLst/>
                      </a:prstGeom>
                      <a:noFill/>
                      <a:ln>
                        <a:noFill/>
                      </a:ln>
                    </wps:spPr>
                    <wps:txbx>
                      <w:txbxContent>
                        <w:p w14:paraId="3EDEA145" w14:textId="77777777" w:rsidR="00BB62F4" w:rsidRDefault="0000000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rPr>
                            <w:t xml:space="preserve">5 </w:t>
                          </w:r>
                        </w:p>
                        <w:p w14:paraId="7DDDACC7" w14:textId="77777777" w:rsidR="00BB62F4" w:rsidRDefault="00BB62F4">
                          <w:pPr>
                            <w:textDirection w:val="btLr"/>
                          </w:pPr>
                        </w:p>
                        <w:p w14:paraId="3C3A50E5" w14:textId="77777777" w:rsidR="00BB62F4" w:rsidRDefault="00BB62F4">
                          <w:pPr>
                            <w:textDirection w:val="btLr"/>
                          </w:pPr>
                        </w:p>
                      </w:txbxContent>
                    </wps:txbx>
                    <wps:bodyPr spcFirstLastPara="1" wrap="square" lIns="91425" tIns="45700" rIns="91425" bIns="45700" anchor="t" anchorCtr="0">
                      <a:noAutofit/>
                    </wps:bodyPr>
                  </wps:wsp>
                </a:graphicData>
              </a:graphic>
            </wp:anchor>
          </w:drawing>
        </mc:Choice>
        <mc:Fallback>
          <w:pict>
            <v:rect w14:anchorId="7B2BA62B" id="Rectangle 1" o:spid="_x0000_s1041" style="position:absolute;margin-left:-9.75pt;margin-top:-29.45pt;width:469.95pt;height:34.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" filled="f" stroked="f">
              <v:textbox inset="2.53958mm,1.2694mm,2.53958mm,1.2694mm">
                <w:txbxContent>
                  <w:p w14:paraId="3EDEA145" w14:textId="77777777" w:rsidR="00BB62F4" w:rsidRDefault="0000000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rPr>
                      <w:t xml:space="preserve">5 </w:t>
                    </w:r>
                  </w:p>
                  <w:p w14:paraId="7DDDACC7" w14:textId="77777777" w:rsidR="00BB62F4" w:rsidRDefault="00BB62F4">
                    <w:pPr>
                      <w:textDirection w:val="btLr"/>
                    </w:pPr>
                  </w:p>
                  <w:p w14:paraId="3C3A50E5" w14:textId="77777777" w:rsidR="00BB62F4" w:rsidRDefault="00BB62F4">
                    <w:pP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81E2" w14:textId="77777777" w:rsidR="00BB62F4" w:rsidRDefault="00000000">
    <w:pPr>
      <w:spacing w:line="276" w:lineRule="auto"/>
      <w:rPr>
        <w:sz w:val="16"/>
        <w:szCs w:val="16"/>
      </w:rPr>
    </w:pPr>
    <w:r>
      <w:rPr>
        <w:noProof/>
      </w:rPr>
      <mc:AlternateContent>
        <mc:Choice Requires="wps">
          <w:drawing>
            <wp:anchor distT="0" distB="0" distL="114300" distR="114300" simplePos="0" relativeHeight="251667456" behindDoc="0" locked="0" layoutInCell="1" hidden="0" allowOverlap="1" wp14:anchorId="03C39BFF" wp14:editId="02442662">
              <wp:simplePos x="0" y="0"/>
              <wp:positionH relativeFrom="column">
                <wp:posOffset>-113981</wp:posOffset>
              </wp:positionH>
              <wp:positionV relativeFrom="paragraph">
                <wp:posOffset>-321454</wp:posOffset>
              </wp:positionV>
              <wp:extent cx="6033135" cy="821055"/>
              <wp:effectExtent l="0" t="0" r="0" b="0"/>
              <wp:wrapNone/>
              <wp:docPr id="9" name="Rectangle 9"/>
              <wp:cNvGraphicFramePr/>
              <a:graphic xmlns:a="http://schemas.openxmlformats.org/drawingml/2006/main">
                <a:graphicData uri="http://schemas.microsoft.com/office/word/2010/wordprocessingShape">
                  <wps:wsp>
                    <wps:cNvSpPr/>
                    <wps:spPr>
                      <a:xfrm>
                        <a:off x="2334195" y="3374235"/>
                        <a:ext cx="6023610" cy="811530"/>
                      </a:xfrm>
                      <a:prstGeom prst="rect">
                        <a:avLst/>
                      </a:prstGeom>
                      <a:noFill/>
                      <a:ln>
                        <a:noFill/>
                      </a:ln>
                    </wps:spPr>
                    <wps:txbx>
                      <w:txbxContent>
                        <w:p w14:paraId="00210DF7" w14:textId="77777777" w:rsidR="00BB62F4" w:rsidRDefault="0000000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0F216C77" w14:textId="77777777" w:rsidR="00BB62F4" w:rsidRDefault="00000000">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104AB966" w14:textId="77777777" w:rsidR="00BB62F4" w:rsidRDefault="00BB62F4">
                          <w:pPr>
                            <w:textDirection w:val="btLr"/>
                          </w:pPr>
                        </w:p>
                      </w:txbxContent>
                    </wps:txbx>
                    <wps:bodyPr spcFirstLastPara="1" wrap="square" lIns="91425" tIns="45700" rIns="91425" bIns="45700" anchor="t" anchorCtr="0">
                      <a:noAutofit/>
                    </wps:bodyPr>
                  </wps:wsp>
                </a:graphicData>
              </a:graphic>
            </wp:anchor>
          </w:drawing>
        </mc:Choice>
        <mc:Fallback>
          <w:pict>
            <v:rect w14:anchorId="03C39BFF" id="Rectangle 9" o:spid="_x0000_s1054" style="position:absolute;margin-left:-8.95pt;margin-top:-25.3pt;width:475.05pt;height:64.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" filled="f" stroked="f">
              <v:textbox inset="2.53958mm,1.2694mm,2.53958mm,1.2694mm">
                <w:txbxContent>
                  <w:p w14:paraId="00210DF7" w14:textId="77777777" w:rsidR="00BB62F4" w:rsidRDefault="0000000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0F216C77" w14:textId="77777777" w:rsidR="00BB62F4" w:rsidRDefault="00000000">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104AB966" w14:textId="77777777" w:rsidR="00BB62F4" w:rsidRDefault="00BB62F4">
                    <w:pPr>
                      <w:textDirection w:val="btLr"/>
                    </w:pP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0B813F8B" wp14:editId="786F64FA">
              <wp:simplePos x="0" y="0"/>
              <wp:positionH relativeFrom="column">
                <wp:posOffset>-114081</wp:posOffset>
              </wp:positionH>
              <wp:positionV relativeFrom="paragraph">
                <wp:posOffset>-387345</wp:posOffset>
              </wp:positionV>
              <wp:extent cx="5968365" cy="749264"/>
              <wp:effectExtent l="0" t="0" r="0" b="0"/>
              <wp:wrapNone/>
              <wp:docPr id="4" name="Rectangle 4"/>
              <wp:cNvGraphicFramePr/>
              <a:graphic xmlns:a="http://schemas.openxmlformats.org/drawingml/2006/main">
                <a:graphicData uri="http://schemas.microsoft.com/office/word/2010/wordprocessingShape">
                  <wps:wsp>
                    <wps:cNvSpPr/>
                    <wps:spPr>
                      <a:xfrm>
                        <a:off x="2366580" y="3410131"/>
                        <a:ext cx="5958840" cy="739739"/>
                      </a:xfrm>
                      <a:prstGeom prst="rect">
                        <a:avLst/>
                      </a:prstGeom>
                      <a:noFill/>
                      <a:ln>
                        <a:noFill/>
                      </a:ln>
                    </wps:spPr>
                    <wps:txbx>
                      <w:txbxContent>
                        <w:p w14:paraId="166C59B4" w14:textId="77777777" w:rsidR="00BB62F4" w:rsidRDefault="0000000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rPr>
                            <w:t xml:space="preserve">1 </w:t>
                          </w:r>
                        </w:p>
                        <w:p w14:paraId="55B9FD12" w14:textId="77777777" w:rsidR="00BB62F4" w:rsidRDefault="00BB62F4">
                          <w:pPr>
                            <w:textDirection w:val="btLr"/>
                          </w:pPr>
                        </w:p>
                        <w:p w14:paraId="5B2E7B99" w14:textId="77777777" w:rsidR="00BB62F4" w:rsidRDefault="00BB62F4">
                          <w:pPr>
                            <w:textDirection w:val="btLr"/>
                          </w:pPr>
                        </w:p>
                      </w:txbxContent>
                    </wps:txbx>
                    <wps:bodyPr spcFirstLastPara="1" wrap="square" lIns="91425" tIns="45700" rIns="91425" bIns="45700" anchor="t" anchorCtr="0">
                      <a:noAutofit/>
                    </wps:bodyPr>
                  </wps:wsp>
                </a:graphicData>
              </a:graphic>
            </wp:anchor>
          </w:drawing>
        </mc:Choice>
        <mc:Fallback>
          <w:pict>
            <v:rect w14:anchorId="0B813F8B" id="Rectangle 4" o:spid="_x0000_s1055" style="position:absolute;margin-left:-9pt;margin-top:-30.5pt;width:469.95pt;height:5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" filled="f" stroked="f">
              <v:textbox inset="2.53958mm,1.2694mm,2.53958mm,1.2694mm">
                <w:txbxContent>
                  <w:p w14:paraId="166C59B4" w14:textId="77777777" w:rsidR="00BB62F4" w:rsidRDefault="0000000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rPr>
                      <w:t xml:space="preserve">1 </w:t>
                    </w:r>
                  </w:p>
                  <w:p w14:paraId="55B9FD12" w14:textId="77777777" w:rsidR="00BB62F4" w:rsidRDefault="00BB62F4">
                    <w:pPr>
                      <w:textDirection w:val="btLr"/>
                    </w:pPr>
                  </w:p>
                  <w:p w14:paraId="5B2E7B99" w14:textId="77777777" w:rsidR="00BB62F4" w:rsidRDefault="00BB62F4">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61CA2" w14:textId="77777777" w:rsidR="00453BB6" w:rsidRDefault="00453BB6">
      <w:pPr>
        <w:spacing w:before="0" w:after="0"/>
      </w:pPr>
      <w:r>
        <w:separator/>
      </w:r>
    </w:p>
  </w:footnote>
  <w:footnote w:type="continuationSeparator" w:id="0">
    <w:p w14:paraId="4B34C359" w14:textId="77777777" w:rsidR="00453BB6" w:rsidRDefault="00453BB6">
      <w:pPr>
        <w:spacing w:before="0" w:after="0"/>
      </w:pPr>
      <w:r>
        <w:continuationSeparator/>
      </w:r>
    </w:p>
  </w:footnote>
  <w:footnote w:id="1">
    <w:p w14:paraId="6481C577" w14:textId="77777777" w:rsidR="00BB62F4"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w:t>
      </w:r>
      <w:r>
        <w:rPr>
          <w:color w:val="000000"/>
          <w:sz w:val="18"/>
          <w:szCs w:val="18"/>
        </w:rPr>
        <w:t>Materiality relates to a threshold amount or percentage to determine if a company or a payment is significant to an outcome. Multi-stakeholder groups in EITI implementing countries often set materiality levels based on company or payment size. It reduces the detailed disclosures needed to be able to focus on the ‘important’ streams and entities.</w:t>
      </w:r>
    </w:p>
  </w:footnote>
  <w:footnote w:id="2">
    <w:p w14:paraId="6181647C" w14:textId="77777777" w:rsidR="00BB62F4"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w:t>
      </w:r>
      <w:r>
        <w:rPr>
          <w:color w:val="000000"/>
          <w:sz w:val="18"/>
          <w:szCs w:val="18"/>
        </w:rPr>
        <w:t xml:space="preserve">Requirement 2.3 for the license register applies to all companies within the agreed scope of EITI implementation, but it is </w:t>
      </w:r>
      <w:r>
        <w:rPr>
          <w:i/>
          <w:iCs/>
          <w:color w:val="000000"/>
          <w:sz w:val="18"/>
          <w:szCs w:val="18"/>
        </w:rPr>
        <w:t xml:space="preserve">expected </w:t>
      </w:r>
      <w:r>
        <w:rPr>
          <w:color w:val="000000"/>
          <w:sz w:val="18"/>
          <w:szCs w:val="18"/>
        </w:rPr>
        <w:t xml:space="preserve">that all companies are contained in the license register, regardless of their materiality. </w:t>
      </w:r>
    </w:p>
  </w:footnote>
  <w:footnote w:id="3">
    <w:p w14:paraId="3BF8C55C" w14:textId="77777777" w:rsidR="00BB62F4" w:rsidRDefault="00000000">
      <w:pPr>
        <w:pBdr>
          <w:top w:val="nil"/>
          <w:left w:val="nil"/>
          <w:bottom w:val="nil"/>
          <w:right w:val="nil"/>
          <w:between w:val="nil"/>
        </w:pBdr>
        <w:spacing w:before="0" w:after="0"/>
        <w:rPr>
          <w:color w:val="000000"/>
          <w:sz w:val="18"/>
          <w:szCs w:val="18"/>
        </w:rPr>
      </w:pPr>
      <w:r>
        <w:rPr>
          <w:vertAlign w:val="superscript"/>
        </w:rPr>
        <w:footnoteRef/>
      </w:r>
      <w:r>
        <w:rPr>
          <w:color w:val="000000"/>
          <w:sz w:val="18"/>
          <w:szCs w:val="18"/>
        </w:rPr>
        <w:t xml:space="preserve"> The MSG is free to identify what a material deviation would be. As a general rule, a material deviation applies if the transfer or award relates to a company that is material (and required to report).</w:t>
      </w:r>
    </w:p>
  </w:footnote>
  <w:footnote w:id="4">
    <w:p w14:paraId="51B82BDE" w14:textId="77777777" w:rsidR="00BB62F4"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Meaning that the information is not comprehensive, that important information is not disclosed.</w:t>
      </w:r>
    </w:p>
  </w:footnote>
  <w:footnote w:id="5">
    <w:p w14:paraId="2177CE80" w14:textId="77777777" w:rsidR="00BB62F4"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if any of the questions on comprehensiveness, timeliness and reliability were responded to with ‘yes’, the missing information must be disclosed by the MSG.</w:t>
      </w:r>
    </w:p>
  </w:footnote>
  <w:footnote w:id="6">
    <w:p w14:paraId="0C39B8BA" w14:textId="77777777" w:rsidR="00BB62F4" w:rsidRDefault="00000000">
      <w:pPr>
        <w:pBdr>
          <w:top w:val="nil"/>
          <w:left w:val="nil"/>
          <w:bottom w:val="nil"/>
          <w:right w:val="nil"/>
          <w:between w:val="nil"/>
        </w:pBdr>
        <w:spacing w:before="0" w:after="0"/>
        <w:rPr>
          <w:color w:val="000000"/>
          <w:sz w:val="18"/>
          <w:szCs w:val="18"/>
        </w:rPr>
      </w:pPr>
      <w:r>
        <w:rPr>
          <w:vertAlign w:val="superscript"/>
        </w:rPr>
        <w:footnoteRef/>
      </w:r>
      <w:r>
        <w:rPr>
          <w:color w:val="000000"/>
        </w:rPr>
        <w:t xml:space="preserve"> </w:t>
      </w:r>
      <w:r>
        <w:rPr>
          <w:color w:val="000000"/>
          <w:sz w:val="18"/>
          <w:szCs w:val="18"/>
        </w:rPr>
        <w:t>According to 2.4.d, The term “contract” in Requirement 2.4(a) means: </w:t>
      </w:r>
    </w:p>
    <w:p w14:paraId="1D708234" w14:textId="77777777" w:rsidR="00BB62F4" w:rsidRDefault="00000000">
      <w:pPr>
        <w:pBdr>
          <w:top w:val="nil"/>
          <w:left w:val="nil"/>
          <w:bottom w:val="nil"/>
          <w:right w:val="nil"/>
          <w:between w:val="nil"/>
        </w:pBdr>
        <w:spacing w:before="0" w:after="0"/>
        <w:ind w:left="720"/>
        <w:rPr>
          <w:color w:val="000000"/>
          <w:sz w:val="18"/>
          <w:szCs w:val="18"/>
        </w:rPr>
      </w:pPr>
      <w:proofErr w:type="spellStart"/>
      <w:r>
        <w:rPr>
          <w:color w:val="000000"/>
          <w:sz w:val="18"/>
          <w:szCs w:val="18"/>
        </w:rPr>
        <w:t>i</w:t>
      </w:r>
      <w:proofErr w:type="spellEnd"/>
      <w:r>
        <w:rPr>
          <w:color w:val="000000"/>
          <w:sz w:val="18"/>
          <w:szCs w:val="18"/>
        </w:rPr>
        <w:t>. The full text of any contract, concession, production-sharing agreement or other agreement granted by, or entered into by, the government which provides the terms attached to the exploitation of oil, gas and mineral resources. </w:t>
      </w:r>
    </w:p>
    <w:p w14:paraId="003FB513" w14:textId="77777777" w:rsidR="00BB62F4" w:rsidRDefault="00000000">
      <w:pPr>
        <w:pBdr>
          <w:top w:val="nil"/>
          <w:left w:val="nil"/>
          <w:bottom w:val="nil"/>
          <w:right w:val="nil"/>
          <w:between w:val="nil"/>
        </w:pBdr>
        <w:spacing w:before="0" w:after="0"/>
        <w:ind w:left="720"/>
        <w:rPr>
          <w:color w:val="000000"/>
          <w:sz w:val="18"/>
          <w:szCs w:val="18"/>
        </w:rPr>
      </w:pPr>
      <w:r>
        <w:rPr>
          <w:color w:val="000000"/>
          <w:sz w:val="18"/>
          <w:szCs w:val="18"/>
        </w:rPr>
        <w:t>ii. The full text of any annexe, addendum or rider which establishes details relevant to the exploitation rights, and any material exploration rights, described in Requirement 2.4(d)(</w:t>
      </w:r>
      <w:proofErr w:type="spellStart"/>
      <w:r>
        <w:rPr>
          <w:color w:val="000000"/>
          <w:sz w:val="18"/>
          <w:szCs w:val="18"/>
        </w:rPr>
        <w:t>i</w:t>
      </w:r>
      <w:proofErr w:type="spellEnd"/>
      <w:r>
        <w:rPr>
          <w:color w:val="000000"/>
          <w:sz w:val="18"/>
          <w:szCs w:val="18"/>
        </w:rPr>
        <w:t>) or the execution thereof.</w:t>
      </w:r>
    </w:p>
    <w:p w14:paraId="27124583" w14:textId="77777777" w:rsidR="00BB62F4" w:rsidRDefault="00000000">
      <w:pPr>
        <w:pBdr>
          <w:top w:val="nil"/>
          <w:left w:val="nil"/>
          <w:bottom w:val="nil"/>
          <w:right w:val="nil"/>
          <w:between w:val="nil"/>
        </w:pBdr>
        <w:spacing w:before="0" w:after="0"/>
        <w:ind w:left="720"/>
        <w:rPr>
          <w:color w:val="000000"/>
          <w:sz w:val="18"/>
          <w:szCs w:val="18"/>
        </w:rPr>
      </w:pPr>
      <w:r>
        <w:rPr>
          <w:color w:val="000000"/>
          <w:sz w:val="18"/>
          <w:szCs w:val="18"/>
        </w:rPr>
        <w:t>iii. The full text of any alteration or amendment to these documents </w:t>
      </w:r>
    </w:p>
  </w:footnote>
  <w:footnote w:id="7">
    <w:p w14:paraId="0301817F" w14:textId="77777777" w:rsidR="00BB62F4" w:rsidRDefault="00000000">
      <w:pPr>
        <w:pBdr>
          <w:top w:val="nil"/>
          <w:left w:val="nil"/>
          <w:bottom w:val="nil"/>
          <w:right w:val="nil"/>
          <w:between w:val="nil"/>
        </w:pBdr>
        <w:spacing w:before="0" w:after="0"/>
        <w:rPr>
          <w:color w:val="000000"/>
          <w:sz w:val="18"/>
          <w:szCs w:val="18"/>
        </w:rPr>
      </w:pPr>
      <w:r>
        <w:rPr>
          <w:vertAlign w:val="superscript"/>
        </w:rPr>
        <w:footnoteRef/>
      </w:r>
      <w:r>
        <w:rPr>
          <w:color w:val="000000"/>
          <w:sz w:val="18"/>
          <w:szCs w:val="18"/>
        </w:rPr>
        <w:t xml:space="preserve"> According to 2.4.d, The term “license” in Requirement 2.4(a) means:</w:t>
      </w:r>
    </w:p>
    <w:p w14:paraId="6BD18AE6" w14:textId="77777777" w:rsidR="00BB62F4" w:rsidRDefault="00000000">
      <w:pPr>
        <w:pBdr>
          <w:top w:val="nil"/>
          <w:left w:val="nil"/>
          <w:bottom w:val="nil"/>
          <w:right w:val="nil"/>
          <w:between w:val="nil"/>
        </w:pBdr>
        <w:spacing w:before="0" w:after="0"/>
        <w:ind w:left="720"/>
        <w:rPr>
          <w:color w:val="000000"/>
          <w:sz w:val="18"/>
          <w:szCs w:val="18"/>
        </w:rPr>
      </w:pPr>
      <w:proofErr w:type="spellStart"/>
      <w:r>
        <w:rPr>
          <w:color w:val="000000"/>
          <w:sz w:val="18"/>
          <w:szCs w:val="18"/>
        </w:rPr>
        <w:t>i</w:t>
      </w:r>
      <w:proofErr w:type="spellEnd"/>
      <w:r>
        <w:rPr>
          <w:color w:val="000000"/>
          <w:sz w:val="18"/>
          <w:szCs w:val="18"/>
        </w:rPr>
        <w:t>. The full text of any license, lease, title or permit by which a government confers on a company(</w:t>
      </w:r>
      <w:proofErr w:type="spellStart"/>
      <w:r>
        <w:rPr>
          <w:color w:val="000000"/>
          <w:sz w:val="18"/>
          <w:szCs w:val="18"/>
        </w:rPr>
        <w:t>ies</w:t>
      </w:r>
      <w:proofErr w:type="spellEnd"/>
      <w:r>
        <w:rPr>
          <w:color w:val="000000"/>
          <w:sz w:val="18"/>
          <w:szCs w:val="18"/>
        </w:rPr>
        <w:t>) or individual(s) rights to exploit oil, gas and/or mineral resources. </w:t>
      </w:r>
    </w:p>
    <w:p w14:paraId="60CA8860" w14:textId="77777777" w:rsidR="00BB62F4" w:rsidRDefault="00000000">
      <w:pPr>
        <w:pBdr>
          <w:top w:val="nil"/>
          <w:left w:val="nil"/>
          <w:bottom w:val="nil"/>
          <w:right w:val="nil"/>
          <w:between w:val="nil"/>
        </w:pBdr>
        <w:spacing w:before="0" w:after="0"/>
        <w:ind w:left="720"/>
        <w:rPr>
          <w:color w:val="000000"/>
          <w:sz w:val="18"/>
          <w:szCs w:val="18"/>
        </w:rPr>
      </w:pPr>
      <w:r>
        <w:rPr>
          <w:color w:val="000000"/>
          <w:sz w:val="18"/>
          <w:szCs w:val="18"/>
        </w:rPr>
        <w:t>ii. The full text of any annexe, addendum or rider that establishes details relevant to the exploitation rights, and any material exploration rights, described in Requirement 2.4(e)(</w:t>
      </w:r>
      <w:proofErr w:type="spellStart"/>
      <w:r>
        <w:rPr>
          <w:color w:val="000000"/>
          <w:sz w:val="18"/>
          <w:szCs w:val="18"/>
        </w:rPr>
        <w:t>i</w:t>
      </w:r>
      <w:proofErr w:type="spellEnd"/>
      <w:r>
        <w:rPr>
          <w:color w:val="000000"/>
          <w:sz w:val="18"/>
          <w:szCs w:val="18"/>
        </w:rPr>
        <w:t>) or the execution thereof. </w:t>
      </w:r>
    </w:p>
    <w:p w14:paraId="54DEAE27" w14:textId="77777777" w:rsidR="00BB62F4" w:rsidRDefault="00000000">
      <w:pPr>
        <w:pBdr>
          <w:top w:val="nil"/>
          <w:left w:val="nil"/>
          <w:bottom w:val="nil"/>
          <w:right w:val="nil"/>
          <w:between w:val="nil"/>
        </w:pBdr>
        <w:spacing w:before="0" w:after="0"/>
        <w:ind w:left="720"/>
        <w:rPr>
          <w:color w:val="000000"/>
          <w:sz w:val="18"/>
          <w:szCs w:val="18"/>
        </w:rPr>
      </w:pPr>
      <w:r>
        <w:rPr>
          <w:color w:val="000000"/>
          <w:sz w:val="18"/>
          <w:szCs w:val="18"/>
        </w:rPr>
        <w:t>iii. The full text of any alteration or amendment to the documents </w:t>
      </w:r>
    </w:p>
  </w:footnote>
  <w:footnote w:id="8">
    <w:p w14:paraId="7DCC01DB" w14:textId="77777777" w:rsidR="00BB62F4"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w:t>
      </w:r>
      <w:r>
        <w:rPr>
          <w:color w:val="000000"/>
          <w:sz w:val="18"/>
          <w:szCs w:val="18"/>
        </w:rPr>
        <w:t>If no contracts have been amended since 1 January 2021</w:t>
      </w:r>
    </w:p>
  </w:footnote>
  <w:footnote w:id="9">
    <w:p w14:paraId="167019C9" w14:textId="77777777" w:rsidR="00BB62F4" w:rsidRDefault="00000000">
      <w:pPr>
        <w:pBdr>
          <w:top w:val="nil"/>
          <w:left w:val="nil"/>
          <w:bottom w:val="nil"/>
          <w:right w:val="nil"/>
          <w:between w:val="nil"/>
        </w:pBdr>
        <w:spacing w:before="0" w:after="0"/>
        <w:rPr>
          <w:color w:val="000000"/>
          <w:sz w:val="18"/>
          <w:szCs w:val="18"/>
        </w:rPr>
      </w:pPr>
      <w:r>
        <w:rPr>
          <w:vertAlign w:val="superscript"/>
        </w:rPr>
        <w:footnoteRef/>
      </w:r>
      <w:r>
        <w:rPr>
          <w:color w:val="000000"/>
          <w:sz w:val="18"/>
          <w:szCs w:val="18"/>
        </w:rPr>
        <w:t xml:space="preserve">  no amended licenses were amended since Jan 2021</w:t>
      </w:r>
    </w:p>
  </w:footnote>
  <w:footnote w:id="10">
    <w:p w14:paraId="6599E4CC" w14:textId="77777777" w:rsidR="00BB62F4"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w:t>
      </w:r>
      <w:r>
        <w:rPr>
          <w:color w:val="000000"/>
          <w:sz w:val="18"/>
          <w:szCs w:val="18"/>
        </w:rPr>
        <w:t>Meaning that the information is not comprehensive, that important information is not disclosed.</w:t>
      </w:r>
    </w:p>
  </w:footnote>
  <w:footnote w:id="11">
    <w:p w14:paraId="5BEB4977" w14:textId="77777777" w:rsidR="00BB62F4"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w:t>
      </w:r>
      <w:r>
        <w:rPr>
          <w:color w:val="000000"/>
          <w:sz w:val="18"/>
          <w:szCs w:val="18"/>
        </w:rPr>
        <w:t>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p>
  </w:footnote>
  <w:footnote w:id="12">
    <w:p w14:paraId="6C6E2E86" w14:textId="77777777" w:rsidR="00BB62F4"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w:t>
      </w:r>
      <w:r>
        <w:rPr>
          <w:color w:val="000000"/>
          <w:sz w:val="18"/>
          <w:szCs w:val="18"/>
        </w:rPr>
        <w:t xml:space="preserve">Meaning that if a company is fully owned by a publicly listed company, the stock exchange information of that publicly listed parent company is available. </w:t>
      </w:r>
    </w:p>
  </w:footnote>
  <w:footnote w:id="13">
    <w:p w14:paraId="59FBB1C8" w14:textId="77777777" w:rsidR="00BB62F4"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A joint venture (JV) is a business entity created by two or more parties, generally characterised by shared ownership, shared returns and risks, and shared governance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9340" w14:textId="77777777" w:rsidR="00BB62F4" w:rsidRDefault="00000000">
    <w:pPr>
      <w:pBdr>
        <w:top w:val="nil"/>
        <w:left w:val="nil"/>
        <w:bottom w:val="nil"/>
        <w:right w:val="nil"/>
        <w:between w:val="nil"/>
      </w:pBdr>
      <w:spacing w:before="0" w:after="0" w:line="276" w:lineRule="auto"/>
      <w:jc w:val="right"/>
      <w:rPr>
        <w:color w:val="000000"/>
        <w:sz w:val="18"/>
        <w:szCs w:val="18"/>
        <w:highlight w:val="lightGray"/>
      </w:rPr>
    </w:pPr>
    <w:r>
      <w:rPr>
        <w:rFonts w:ascii="Open Sans" w:eastAsia="Open Sans" w:hAnsi="Open Sans" w:cs="Open Sans"/>
        <w:color w:val="000000"/>
        <w:sz w:val="18"/>
        <w:szCs w:val="18"/>
      </w:rPr>
      <w:tab/>
    </w:r>
    <w:r>
      <w:rPr>
        <w:rFonts w:ascii="Open Sans" w:eastAsia="Open Sans" w:hAnsi="Open Sans" w:cs="Open Sans"/>
        <w:color w:val="000000"/>
        <w:sz w:val="18"/>
        <w:szCs w:val="18"/>
      </w:rPr>
      <w:br/>
    </w:r>
    <w:r>
      <w:rPr>
        <w:color w:val="000000"/>
        <w:sz w:val="18"/>
        <w:szCs w:val="18"/>
        <w:highlight w:val="lightGray"/>
      </w:rPr>
      <w:t>Country and period under review</w:t>
    </w:r>
    <w:r>
      <w:rPr>
        <w:noProof/>
      </w:rPr>
      <mc:AlternateContent>
        <mc:Choice Requires="wps">
          <w:drawing>
            <wp:anchor distT="0" distB="0" distL="114300" distR="114300" simplePos="0" relativeHeight="251658240" behindDoc="0" locked="0" layoutInCell="1" hidden="0" allowOverlap="1" wp14:anchorId="22B4CCE7" wp14:editId="0D257C75">
              <wp:simplePos x="0" y="0"/>
              <wp:positionH relativeFrom="column">
                <wp:posOffset>5763578</wp:posOffset>
              </wp:positionH>
              <wp:positionV relativeFrom="paragraph">
                <wp:posOffset>-138668</wp:posOffset>
              </wp:positionV>
              <wp:extent cx="532109" cy="255905"/>
              <wp:effectExtent l="0" t="0" r="0" b="0"/>
              <wp:wrapNone/>
              <wp:docPr id="3" name="Rectangle 3"/>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5BC920F2" w14:textId="77777777" w:rsidR="00BB62F4" w:rsidRDefault="00BB62F4">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22B4CCE7" id="Rectangle 3" o:spid="_x0000_s1026" style="position:absolute;left:0;text-align:left;margin-left:453.85pt;margin-top:-10.9pt;width:41.9pt;height:20.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" fillcolor="white [3201]" stroked="f">
              <v:textbox inset="2.53958mm,2.53958mm,2.53958mm,2.53958mm">
                <w:txbxContent>
                  <w:p w14:paraId="5BC920F2" w14:textId="77777777" w:rsidR="00BB62F4" w:rsidRDefault="00BB62F4">
                    <w:pPr>
                      <w:spacing w:before="0" w:after="0"/>
                      <w:textDirection w:val="btLr"/>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7224535E" wp14:editId="769F2632">
              <wp:simplePos x="0" y="0"/>
              <wp:positionH relativeFrom="column">
                <wp:posOffset>1</wp:posOffset>
              </wp:positionH>
              <wp:positionV relativeFrom="paragraph">
                <wp:posOffset>3175</wp:posOffset>
              </wp:positionV>
              <wp:extent cx="6061710" cy="45720"/>
              <wp:effectExtent l="0" t="0" r="0" b="0"/>
              <wp:wrapNone/>
              <wp:docPr id="10" name="Group 10"/>
              <wp:cNvGraphicFramePr/>
              <a:graphic xmlns:a="http://schemas.openxmlformats.org/drawingml/2006/main">
                <a:graphicData uri="http://schemas.microsoft.com/office/word/2010/wordprocessingGroup">
                  <wpg:wgp>
                    <wpg:cNvGrpSpPr/>
                    <wpg:grpSpPr>
                      <a:xfrm>
                        <a:off x="0" y="0"/>
                        <a:ext cx="6061710" cy="45720"/>
                        <a:chOff x="2315125" y="3757125"/>
                        <a:chExt cx="6061750" cy="45750"/>
                      </a:xfrm>
                    </wpg:grpSpPr>
                    <wpg:grpSp>
                      <wpg:cNvPr id="97183281" name="Group 97183281"/>
                      <wpg:cNvGrpSpPr/>
                      <wpg:grpSpPr>
                        <a:xfrm>
                          <a:off x="2315145" y="3757140"/>
                          <a:ext cx="6061710" cy="45720"/>
                          <a:chOff x="1134" y="1909"/>
                          <a:chExt cx="9546" cy="179"/>
                        </a:xfrm>
                      </wpg:grpSpPr>
                      <wps:wsp>
                        <wps:cNvPr id="2118094893" name="Rectangle 2118094893"/>
                        <wps:cNvSpPr/>
                        <wps:spPr>
                          <a:xfrm>
                            <a:off x="1134" y="1909"/>
                            <a:ext cx="9525" cy="175"/>
                          </a:xfrm>
                          <a:prstGeom prst="rect">
                            <a:avLst/>
                          </a:prstGeom>
                          <a:noFill/>
                          <a:ln>
                            <a:noFill/>
                          </a:ln>
                        </wps:spPr>
                        <wps:txbx>
                          <w:txbxContent>
                            <w:p w14:paraId="364C0A98"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2012877948" name="Rectangle 2012877948"/>
                        <wps:cNvSpPr/>
                        <wps:spPr>
                          <a:xfrm>
                            <a:off x="1134" y="1909"/>
                            <a:ext cx="604" cy="179"/>
                          </a:xfrm>
                          <a:prstGeom prst="rect">
                            <a:avLst/>
                          </a:prstGeom>
                          <a:solidFill>
                            <a:srgbClr val="31AED6"/>
                          </a:solidFill>
                          <a:ln>
                            <a:noFill/>
                          </a:ln>
                        </wps:spPr>
                        <wps:txbx>
                          <w:txbxContent>
                            <w:p w14:paraId="79840492"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115546295" name="Rectangle 115546295"/>
                        <wps:cNvSpPr/>
                        <wps:spPr>
                          <a:xfrm>
                            <a:off x="1646" y="1909"/>
                            <a:ext cx="238" cy="179"/>
                          </a:xfrm>
                          <a:prstGeom prst="rect">
                            <a:avLst/>
                          </a:prstGeom>
                          <a:solidFill>
                            <a:srgbClr val="184065"/>
                          </a:solidFill>
                          <a:ln>
                            <a:noFill/>
                          </a:ln>
                        </wps:spPr>
                        <wps:txbx>
                          <w:txbxContent>
                            <w:p w14:paraId="7D95565B"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1754534034" name="Rectangle 1754534034"/>
                        <wps:cNvSpPr/>
                        <wps:spPr>
                          <a:xfrm>
                            <a:off x="1832" y="1909"/>
                            <a:ext cx="266" cy="179"/>
                          </a:xfrm>
                          <a:prstGeom prst="rect">
                            <a:avLst/>
                          </a:prstGeom>
                          <a:solidFill>
                            <a:srgbClr val="31AED6"/>
                          </a:solidFill>
                          <a:ln>
                            <a:noFill/>
                          </a:ln>
                        </wps:spPr>
                        <wps:txbx>
                          <w:txbxContent>
                            <w:p w14:paraId="6CC2F85D"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1794334504" name="Rectangle 1794334504"/>
                        <wps:cNvSpPr/>
                        <wps:spPr>
                          <a:xfrm>
                            <a:off x="2220" y="1909"/>
                            <a:ext cx="538" cy="179"/>
                          </a:xfrm>
                          <a:prstGeom prst="rect">
                            <a:avLst/>
                          </a:prstGeom>
                          <a:solidFill>
                            <a:srgbClr val="31AED6"/>
                          </a:solidFill>
                          <a:ln>
                            <a:noFill/>
                          </a:ln>
                        </wps:spPr>
                        <wps:txbx>
                          <w:txbxContent>
                            <w:p w14:paraId="4E7A8B12"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80592518" name="Rectangle 80592518"/>
                        <wps:cNvSpPr/>
                        <wps:spPr>
                          <a:xfrm>
                            <a:off x="2030" y="1909"/>
                            <a:ext cx="190" cy="179"/>
                          </a:xfrm>
                          <a:prstGeom prst="rect">
                            <a:avLst/>
                          </a:prstGeom>
                          <a:solidFill>
                            <a:srgbClr val="184065"/>
                          </a:solidFill>
                          <a:ln>
                            <a:noFill/>
                          </a:ln>
                        </wps:spPr>
                        <wps:txbx>
                          <w:txbxContent>
                            <w:p w14:paraId="0D75D659"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1798808418" name="Rectangle 1798808418"/>
                        <wps:cNvSpPr/>
                        <wps:spPr>
                          <a:xfrm>
                            <a:off x="2714" y="1909"/>
                            <a:ext cx="328" cy="179"/>
                          </a:xfrm>
                          <a:prstGeom prst="rect">
                            <a:avLst/>
                          </a:prstGeom>
                          <a:solidFill>
                            <a:srgbClr val="184065"/>
                          </a:solidFill>
                          <a:ln>
                            <a:noFill/>
                          </a:ln>
                        </wps:spPr>
                        <wps:txbx>
                          <w:txbxContent>
                            <w:p w14:paraId="0E0C6442"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395914278" name="Rectangle 395914278"/>
                        <wps:cNvSpPr/>
                        <wps:spPr>
                          <a:xfrm>
                            <a:off x="3093" y="1909"/>
                            <a:ext cx="7587" cy="177"/>
                          </a:xfrm>
                          <a:prstGeom prst="rect">
                            <a:avLst/>
                          </a:prstGeom>
                          <a:solidFill>
                            <a:srgbClr val="184065"/>
                          </a:solidFill>
                          <a:ln>
                            <a:noFill/>
                          </a:ln>
                        </wps:spPr>
                        <wps:txbx>
                          <w:txbxContent>
                            <w:p w14:paraId="188A78F3"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1932946857" name="Rectangle 1932946857"/>
                        <wps:cNvSpPr/>
                        <wps:spPr>
                          <a:xfrm>
                            <a:off x="2908" y="1909"/>
                            <a:ext cx="195" cy="179"/>
                          </a:xfrm>
                          <a:prstGeom prst="rect">
                            <a:avLst/>
                          </a:prstGeom>
                          <a:solidFill>
                            <a:srgbClr val="31AED6"/>
                          </a:solidFill>
                          <a:ln>
                            <a:noFill/>
                          </a:ln>
                        </wps:spPr>
                        <wps:txbx>
                          <w:txbxContent>
                            <w:p w14:paraId="50851D6B" w14:textId="77777777" w:rsidR="00BB62F4" w:rsidRDefault="00BB62F4">
                              <w:pPr>
                                <w:spacing w:before="0" w:after="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224535E" id="Group 10" o:spid="_x0000_s1027" style="position:absolute;left:0;text-align:left;margin-left:0;margin-top:.25pt;width:477.3pt;height:3.6pt;z-index:251659264" coordorigin="23151,37571" coordsize="6061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">
              <v:group id="Group 97183281" o:spid="_x0000_s1028" style="position:absolute;left:23151;top:37571;width:60617;height:457" coordorigin="1134,1909" coordsize="954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">
                <v:rect id="Rectangle 2118094893" o:spid="_x0000_s1029" style="position:absolute;left:1134;top:1909;width:9525;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" filled="f" stroked="f">
                  <v:textbox inset="2.53958mm,2.53958mm,2.53958mm,2.53958mm">
                    <w:txbxContent>
                      <w:p w14:paraId="364C0A98" w14:textId="77777777" w:rsidR="00BB62F4" w:rsidRDefault="00BB62F4">
                        <w:pPr>
                          <w:spacing w:before="0" w:after="0"/>
                          <w:textDirection w:val="btLr"/>
                        </w:pPr>
                      </w:p>
                    </w:txbxContent>
                  </v:textbox>
                </v:rect>
                <v:rect id="Rectangle 2012877948" o:spid="_x0000_s1030"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" fillcolor="#31aed6" stroked="f">
                  <v:textbox inset="2.53958mm,2.53958mm,2.53958mm,2.53958mm">
                    <w:txbxContent>
                      <w:p w14:paraId="79840492" w14:textId="77777777" w:rsidR="00BB62F4" w:rsidRDefault="00BB62F4">
                        <w:pPr>
                          <w:spacing w:before="0" w:after="0"/>
                          <w:textDirection w:val="btLr"/>
                        </w:pPr>
                      </w:p>
                    </w:txbxContent>
                  </v:textbox>
                </v:rect>
                <v:rect id="Rectangle 115546295" o:spid="_x0000_s1031"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" fillcolor="#184065" stroked="f">
                  <v:textbox inset="2.53958mm,2.53958mm,2.53958mm,2.53958mm">
                    <w:txbxContent>
                      <w:p w14:paraId="7D95565B" w14:textId="77777777" w:rsidR="00BB62F4" w:rsidRDefault="00BB62F4">
                        <w:pPr>
                          <w:spacing w:before="0" w:after="0"/>
                          <w:textDirection w:val="btLr"/>
                        </w:pPr>
                      </w:p>
                    </w:txbxContent>
                  </v:textbox>
                </v:rect>
                <v:rect id="Rectangle 1754534034" o:spid="_x0000_s1032"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" fillcolor="#31aed6" stroked="f">
                  <v:textbox inset="2.53958mm,2.53958mm,2.53958mm,2.53958mm">
                    <w:txbxContent>
                      <w:p w14:paraId="6CC2F85D" w14:textId="77777777" w:rsidR="00BB62F4" w:rsidRDefault="00BB62F4">
                        <w:pPr>
                          <w:spacing w:before="0" w:after="0"/>
                          <w:textDirection w:val="btLr"/>
                        </w:pPr>
                      </w:p>
                    </w:txbxContent>
                  </v:textbox>
                </v:rect>
                <v:rect id="Rectangle 1794334504" o:spid="_x0000_s1033"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" fillcolor="#31aed6" stroked="f">
                  <v:textbox inset="2.53958mm,2.53958mm,2.53958mm,2.53958mm">
                    <w:txbxContent>
                      <w:p w14:paraId="4E7A8B12" w14:textId="77777777" w:rsidR="00BB62F4" w:rsidRDefault="00BB62F4">
                        <w:pPr>
                          <w:spacing w:before="0" w:after="0"/>
                          <w:textDirection w:val="btLr"/>
                        </w:pPr>
                      </w:p>
                    </w:txbxContent>
                  </v:textbox>
                </v:rect>
                <v:rect id="Rectangle 80592518" o:spid="_x0000_s1034"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" fillcolor="#184065" stroked="f">
                  <v:textbox inset="2.53958mm,2.53958mm,2.53958mm,2.53958mm">
                    <w:txbxContent>
                      <w:p w14:paraId="0D75D659" w14:textId="77777777" w:rsidR="00BB62F4" w:rsidRDefault="00BB62F4">
                        <w:pPr>
                          <w:spacing w:before="0" w:after="0"/>
                          <w:textDirection w:val="btLr"/>
                        </w:pPr>
                      </w:p>
                    </w:txbxContent>
                  </v:textbox>
                </v:rect>
                <v:rect id="Rectangle 1798808418" o:spid="_x0000_s1035"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" fillcolor="#184065" stroked="f">
                  <v:textbox inset="2.53958mm,2.53958mm,2.53958mm,2.53958mm">
                    <w:txbxContent>
                      <w:p w14:paraId="0E0C6442" w14:textId="77777777" w:rsidR="00BB62F4" w:rsidRDefault="00BB62F4">
                        <w:pPr>
                          <w:spacing w:before="0" w:after="0"/>
                          <w:textDirection w:val="btLr"/>
                        </w:pPr>
                      </w:p>
                    </w:txbxContent>
                  </v:textbox>
                </v:rect>
                <v:rect id="Rectangle 395914278" o:spid="_x0000_s1036"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" fillcolor="#184065" stroked="f">
                  <v:textbox inset="2.53958mm,2.53958mm,2.53958mm,2.53958mm">
                    <w:txbxContent>
                      <w:p w14:paraId="188A78F3" w14:textId="77777777" w:rsidR="00BB62F4" w:rsidRDefault="00BB62F4">
                        <w:pPr>
                          <w:spacing w:before="0" w:after="0"/>
                          <w:textDirection w:val="btLr"/>
                        </w:pPr>
                      </w:p>
                    </w:txbxContent>
                  </v:textbox>
                </v:rect>
                <v:rect id="Rectangle 1932946857" o:spid="_x0000_s1037"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" fillcolor="#31aed6" stroked="f">
                  <v:textbox inset="2.53958mm,2.53958mm,2.53958mm,2.53958mm">
                    <w:txbxContent>
                      <w:p w14:paraId="50851D6B" w14:textId="77777777" w:rsidR="00BB62F4" w:rsidRDefault="00BB62F4">
                        <w:pPr>
                          <w:spacing w:before="0" w:after="0"/>
                          <w:textDirection w:val="btLr"/>
                        </w:pPr>
                      </w:p>
                    </w:txbxContent>
                  </v:textbox>
                </v:rect>
              </v:group>
            </v:group>
          </w:pict>
        </mc:Fallback>
      </mc:AlternateContent>
    </w:r>
    <w:r>
      <w:rPr>
        <w:noProof/>
      </w:rPr>
      <mc:AlternateContent>
        <mc:Choice Requires="wps">
          <w:drawing>
            <wp:anchor distT="0" distB="0" distL="114300" distR="114300" simplePos="0" relativeHeight="251660288" behindDoc="0" locked="0" layoutInCell="1" hidden="0" allowOverlap="1" wp14:anchorId="52893F7A" wp14:editId="76551A23">
              <wp:simplePos x="0" y="0"/>
              <wp:positionH relativeFrom="column">
                <wp:posOffset>5779453</wp:posOffset>
              </wp:positionH>
              <wp:positionV relativeFrom="paragraph">
                <wp:posOffset>-54291</wp:posOffset>
              </wp:positionV>
              <wp:extent cx="532109" cy="255905"/>
              <wp:effectExtent l="0" t="0" r="0" b="0"/>
              <wp:wrapNone/>
              <wp:docPr id="8" name="Rectangle 8"/>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61B164AF" w14:textId="77777777" w:rsidR="00BB62F4" w:rsidRDefault="00BB62F4">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52893F7A" id="Rectangle 8" o:spid="_x0000_s1038" style="position:absolute;left:0;text-align:left;margin-left:455.1pt;margin-top:-4.25pt;width:41.9pt;height:20.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" fillcolor="white [3201]" stroked="f">
              <v:textbox inset="2.53958mm,2.53958mm,2.53958mm,2.53958mm">
                <w:txbxContent>
                  <w:p w14:paraId="61B164AF" w14:textId="77777777" w:rsidR="00BB62F4" w:rsidRDefault="00BB62F4">
                    <w:pPr>
                      <w:spacing w:before="0" w:after="0"/>
                      <w:textDirection w:val="btLr"/>
                    </w:pPr>
                  </w:p>
                </w:txbxContent>
              </v:textbox>
            </v:rect>
          </w:pict>
        </mc:Fallback>
      </mc:AlternateContent>
    </w:r>
  </w:p>
  <w:p w14:paraId="48C6BAF1" w14:textId="77777777" w:rsidR="00BB62F4" w:rsidRDefault="00000000">
    <w:pPr>
      <w:pBdr>
        <w:top w:val="nil"/>
        <w:left w:val="nil"/>
        <w:bottom w:val="nil"/>
        <w:right w:val="nil"/>
        <w:between w:val="nil"/>
      </w:pBdr>
      <w:spacing w:before="0" w:after="0" w:line="276" w:lineRule="auto"/>
      <w:jc w:val="right"/>
      <w:rPr>
        <w:rFonts w:ascii="Arial" w:eastAsia="Arial" w:hAnsi="Arial" w:cs="Arial"/>
        <w:color w:val="FF0000"/>
        <w:sz w:val="21"/>
        <w:szCs w:val="21"/>
      </w:rPr>
    </w:pPr>
    <w:r>
      <w:rPr>
        <w:color w:val="000000"/>
        <w:sz w:val="18"/>
        <w:szCs w:val="18"/>
        <w:highlight w:val="lightGray"/>
      </w:rPr>
      <w:t>Form C2 - SECTOR</w:t>
    </w:r>
    <w:r>
      <w:rPr>
        <w:color w:val="000000"/>
        <w:sz w:val="18"/>
        <w:szCs w:val="18"/>
      </w:rPr>
      <w:br/>
    </w:r>
    <w:r>
      <w:rPr>
        <w:noProof/>
      </w:rPr>
      <mc:AlternateContent>
        <mc:Choice Requires="wps">
          <w:drawing>
            <wp:anchor distT="0" distB="0" distL="114300" distR="114300" simplePos="0" relativeHeight="251661312" behindDoc="0" locked="0" layoutInCell="1" hidden="0" allowOverlap="1" wp14:anchorId="39D8A35B" wp14:editId="46FFB09A">
              <wp:simplePos x="0" y="0"/>
              <wp:positionH relativeFrom="column">
                <wp:posOffset>5765483</wp:posOffset>
              </wp:positionH>
              <wp:positionV relativeFrom="paragraph">
                <wp:posOffset>67466</wp:posOffset>
              </wp:positionV>
              <wp:extent cx="531495" cy="255905"/>
              <wp:effectExtent l="0" t="0" r="0" b="0"/>
              <wp:wrapNone/>
              <wp:docPr id="5" name="Rectangle 5"/>
              <wp:cNvGraphicFramePr/>
              <a:graphic xmlns:a="http://schemas.openxmlformats.org/drawingml/2006/main">
                <a:graphicData uri="http://schemas.microsoft.com/office/word/2010/wordprocessingShape">
                  <wps:wsp>
                    <wps:cNvSpPr/>
                    <wps:spPr>
                      <a:xfrm>
                        <a:off x="5085015" y="3656810"/>
                        <a:ext cx="521970" cy="246380"/>
                      </a:xfrm>
                      <a:prstGeom prst="rect">
                        <a:avLst/>
                      </a:prstGeom>
                      <a:solidFill>
                        <a:schemeClr val="lt1"/>
                      </a:solidFill>
                      <a:ln>
                        <a:noFill/>
                      </a:ln>
                    </wps:spPr>
                    <wps:txbx>
                      <w:txbxContent>
                        <w:p w14:paraId="0BF1628C" w14:textId="77777777" w:rsidR="00BB62F4" w:rsidRDefault="00BB62F4">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39D8A35B" id="Rectangle 5" o:spid="_x0000_s1039" style="position:absolute;left:0;text-align:left;margin-left:454pt;margin-top:5.3pt;width:41.85pt;height:20.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" fillcolor="white [3201]" stroked="f">
              <v:textbox inset="2.53958mm,2.53958mm,2.53958mm,2.53958mm">
                <w:txbxContent>
                  <w:p w14:paraId="0BF1628C" w14:textId="77777777" w:rsidR="00BB62F4" w:rsidRDefault="00BB62F4">
                    <w:pPr>
                      <w:spacing w:before="0" w:after="0"/>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B7F0" w14:textId="77777777" w:rsidR="00BB62F4" w:rsidRDefault="00000000">
    <w:pPr>
      <w:pBdr>
        <w:top w:val="nil"/>
        <w:left w:val="nil"/>
        <w:bottom w:val="nil"/>
        <w:right w:val="nil"/>
        <w:between w:val="nil"/>
      </w:pBdr>
      <w:jc w:val="right"/>
      <w:rPr>
        <w:rFonts w:ascii="Libre Franklin Medium" w:eastAsia="Libre Franklin Medium" w:hAnsi="Libre Franklin Medium" w:cs="Libre Franklin Medium"/>
        <w:color w:val="000000"/>
        <w:highlight w:val="lightGray"/>
      </w:rPr>
    </w:pPr>
    <w:bookmarkStart w:id="42" w:name="_heading=h.gcdekqbom4an" w:colFirst="0" w:colLast="0"/>
    <w:bookmarkEnd w:id="42"/>
    <w:r>
      <w:rPr>
        <w:rFonts w:ascii="Libre Franklin Medium" w:eastAsia="Libre Franklin Medium" w:hAnsi="Libre Franklin Medium" w:cs="Libre Franklin Medium"/>
        <w:color w:val="000000"/>
        <w:highlight w:val="lightGray"/>
      </w:rPr>
      <w:t>To be filled in by EITI International Secretariat:</w:t>
    </w:r>
    <w:r>
      <w:rPr>
        <w:noProof/>
      </w:rPr>
      <w:drawing>
        <wp:anchor distT="0" distB="0" distL="114300" distR="114300" simplePos="0" relativeHeight="251662336" behindDoc="0" locked="0" layoutInCell="1" hidden="0" allowOverlap="1" wp14:anchorId="1AF2E921" wp14:editId="73E652C7">
          <wp:simplePos x="0" y="0"/>
          <wp:positionH relativeFrom="column">
            <wp:posOffset>-92074</wp:posOffset>
          </wp:positionH>
          <wp:positionV relativeFrom="paragraph">
            <wp:posOffset>-126363</wp:posOffset>
          </wp:positionV>
          <wp:extent cx="1483360" cy="953135"/>
          <wp:effectExtent l="0" t="0" r="0" b="0"/>
          <wp:wrapSquare wrapText="bothSides" distT="0" distB="0" distL="114300" distR="114300"/>
          <wp:docPr id="11" name="image1.png" descr="Logo_Gradient – Under"/>
          <wp:cNvGraphicFramePr/>
          <a:graphic xmlns:a="http://schemas.openxmlformats.org/drawingml/2006/main">
            <a:graphicData uri="http://schemas.openxmlformats.org/drawingml/2006/picture">
              <pic:pic xmlns:pic="http://schemas.openxmlformats.org/drawingml/2006/picture">
                <pic:nvPicPr>
                  <pic:cNvPr id="0" name="image1.png" descr="Logo_Gradient – Under"/>
                  <pic:cNvPicPr preferRelativeResize="0"/>
                </pic:nvPicPr>
                <pic:blipFill>
                  <a:blip r:embed="rId1"/>
                  <a:srcRect/>
                  <a:stretch>
                    <a:fillRect/>
                  </a:stretch>
                </pic:blipFill>
                <pic:spPr>
                  <a:xfrm>
                    <a:off x="0" y="0"/>
                    <a:ext cx="1483360" cy="953135"/>
                  </a:xfrm>
                  <a:prstGeom prst="rect">
                    <a:avLst/>
                  </a:prstGeom>
                  <a:ln/>
                </pic:spPr>
              </pic:pic>
            </a:graphicData>
          </a:graphic>
        </wp:anchor>
      </w:drawing>
    </w:r>
  </w:p>
  <w:p w14:paraId="77613BB0" w14:textId="77777777" w:rsidR="00BB62F4" w:rsidRDefault="00000000">
    <w:pPr>
      <w:pBdr>
        <w:top w:val="nil"/>
        <w:left w:val="nil"/>
        <w:bottom w:val="nil"/>
        <w:right w:val="nil"/>
        <w:between w:val="nil"/>
      </w:pBdr>
      <w:spacing w:before="0" w:after="0" w:line="276" w:lineRule="auto"/>
      <w:jc w:val="right"/>
      <w:rPr>
        <w:color w:val="000000"/>
        <w:sz w:val="18"/>
        <w:szCs w:val="18"/>
        <w:highlight w:val="lightGray"/>
      </w:rPr>
    </w:pPr>
    <w:r>
      <w:rPr>
        <w:color w:val="000000"/>
        <w:sz w:val="18"/>
        <w:szCs w:val="18"/>
        <w:highlight w:val="lightGray"/>
      </w:rPr>
      <w:tab/>
    </w:r>
    <w:r>
      <w:rPr>
        <w:color w:val="000000"/>
        <w:sz w:val="18"/>
        <w:szCs w:val="18"/>
        <w:highlight w:val="lightGray"/>
      </w:rPr>
      <w:tab/>
      <w:t>Country and period under review</w:t>
    </w:r>
  </w:p>
  <w:p w14:paraId="683BD668" w14:textId="77777777" w:rsidR="00BB62F4" w:rsidRDefault="00BB62F4">
    <w:pPr>
      <w:pBdr>
        <w:top w:val="nil"/>
        <w:left w:val="nil"/>
        <w:bottom w:val="nil"/>
        <w:right w:val="nil"/>
        <w:between w:val="nil"/>
      </w:pBdr>
      <w:spacing w:before="0" w:after="0" w:line="276" w:lineRule="auto"/>
      <w:jc w:val="right"/>
      <w:rPr>
        <w:color w:val="000000"/>
        <w:sz w:val="18"/>
        <w:szCs w:val="18"/>
        <w:highlight w:val="lightGray"/>
      </w:rPr>
    </w:pPr>
  </w:p>
  <w:p w14:paraId="5A9D3D34" w14:textId="77777777" w:rsidR="00BB62F4" w:rsidRDefault="00000000">
    <w:pPr>
      <w:pBdr>
        <w:top w:val="nil"/>
        <w:left w:val="nil"/>
        <w:bottom w:val="nil"/>
        <w:right w:val="nil"/>
        <w:between w:val="nil"/>
      </w:pBdr>
      <w:spacing w:before="0" w:after="0" w:line="276" w:lineRule="auto"/>
      <w:jc w:val="right"/>
      <w:rPr>
        <w:color w:val="000000"/>
        <w:sz w:val="18"/>
        <w:szCs w:val="18"/>
      </w:rPr>
    </w:pPr>
    <w:r>
      <w:rPr>
        <w:color w:val="000000"/>
        <w:sz w:val="18"/>
        <w:szCs w:val="18"/>
        <w:highlight w:val="lightGray"/>
      </w:rPr>
      <w:t>Form C2 - SECTOR</w:t>
    </w:r>
    <w:r>
      <w:rPr>
        <w:noProof/>
      </w:rPr>
      <mc:AlternateContent>
        <mc:Choice Requires="wps">
          <w:drawing>
            <wp:anchor distT="0" distB="0" distL="114300" distR="114300" simplePos="0" relativeHeight="251663360" behindDoc="0" locked="0" layoutInCell="1" hidden="0" allowOverlap="1" wp14:anchorId="66029A8C" wp14:editId="0CEFC940">
              <wp:simplePos x="0" y="0"/>
              <wp:positionH relativeFrom="column">
                <wp:posOffset>5765483</wp:posOffset>
              </wp:positionH>
              <wp:positionV relativeFrom="paragraph">
                <wp:posOffset>67466</wp:posOffset>
              </wp:positionV>
              <wp:extent cx="531495" cy="255905"/>
              <wp:effectExtent l="0" t="0" r="0" b="0"/>
              <wp:wrapNone/>
              <wp:docPr id="2" name="Rectangle 2"/>
              <wp:cNvGraphicFramePr/>
              <a:graphic xmlns:a="http://schemas.openxmlformats.org/drawingml/2006/main">
                <a:graphicData uri="http://schemas.microsoft.com/office/word/2010/wordprocessingShape">
                  <wps:wsp>
                    <wps:cNvSpPr/>
                    <wps:spPr>
                      <a:xfrm>
                        <a:off x="5085015" y="3656810"/>
                        <a:ext cx="521970" cy="246380"/>
                      </a:xfrm>
                      <a:prstGeom prst="rect">
                        <a:avLst/>
                      </a:prstGeom>
                      <a:solidFill>
                        <a:schemeClr val="lt1"/>
                      </a:solidFill>
                      <a:ln>
                        <a:noFill/>
                      </a:ln>
                    </wps:spPr>
                    <wps:txbx>
                      <w:txbxContent>
                        <w:p w14:paraId="28C7EB66" w14:textId="77777777" w:rsidR="00BB62F4" w:rsidRDefault="00BB62F4">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66029A8C" id="Rectangle 2" o:spid="_x0000_s1042" style="position:absolute;left:0;text-align:left;margin-left:454pt;margin-top:5.3pt;width:41.85pt;height:20.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" fillcolor="white [3201]" stroked="f">
              <v:textbox inset="2.53958mm,2.53958mm,2.53958mm,2.53958mm">
                <w:txbxContent>
                  <w:p w14:paraId="28C7EB66" w14:textId="77777777" w:rsidR="00BB62F4" w:rsidRDefault="00BB62F4">
                    <w:pPr>
                      <w:spacing w:before="0" w:after="0"/>
                      <w:textDirection w:val="btLr"/>
                    </w:pPr>
                  </w:p>
                </w:txbxContent>
              </v:textbox>
            </v:rect>
          </w:pict>
        </mc:Fallback>
      </mc:AlternateContent>
    </w:r>
  </w:p>
  <w:p w14:paraId="5D41E388" w14:textId="77777777" w:rsidR="00BB62F4" w:rsidRDefault="00000000">
    <w:pPr>
      <w:tabs>
        <w:tab w:val="right" w:pos="9498"/>
      </w:tabs>
      <w:rPr>
        <w:rFonts w:ascii="Libre Franklin Medium" w:eastAsia="Libre Franklin Medium" w:hAnsi="Libre Franklin Medium" w:cs="Libre Franklin Medium"/>
      </w:rPr>
    </w:pPr>
    <w:r>
      <w:rPr>
        <w:rFonts w:ascii="Libre Franklin Medium" w:eastAsia="Libre Franklin Medium" w:hAnsi="Libre Franklin Medium" w:cs="Libre Franklin Medium"/>
      </w:rPr>
      <w:tab/>
    </w:r>
    <w:r>
      <w:rPr>
        <w:noProof/>
      </w:rPr>
      <mc:AlternateContent>
        <mc:Choice Requires="wpg">
          <w:drawing>
            <wp:anchor distT="0" distB="0" distL="114300" distR="114300" simplePos="0" relativeHeight="251664384" behindDoc="0" locked="0" layoutInCell="1" hidden="0" allowOverlap="1" wp14:anchorId="66084E4D" wp14:editId="67B0C6B2">
              <wp:simplePos x="0" y="0"/>
              <wp:positionH relativeFrom="column">
                <wp:posOffset>-634</wp:posOffset>
              </wp:positionH>
              <wp:positionV relativeFrom="paragraph">
                <wp:posOffset>90170</wp:posOffset>
              </wp:positionV>
              <wp:extent cx="6061710" cy="45720"/>
              <wp:effectExtent l="0" t="0" r="0" b="0"/>
              <wp:wrapNone/>
              <wp:docPr id="7" name="Group 7"/>
              <wp:cNvGraphicFramePr/>
              <a:graphic xmlns:a="http://schemas.openxmlformats.org/drawingml/2006/main">
                <a:graphicData uri="http://schemas.microsoft.com/office/word/2010/wordprocessingGroup">
                  <wpg:wgp>
                    <wpg:cNvGrpSpPr/>
                    <wpg:grpSpPr>
                      <a:xfrm>
                        <a:off x="0" y="0"/>
                        <a:ext cx="6061710" cy="45720"/>
                        <a:chOff x="2315125" y="3757125"/>
                        <a:chExt cx="6061750" cy="45750"/>
                      </a:xfrm>
                    </wpg:grpSpPr>
                    <wpg:grpSp>
                      <wpg:cNvPr id="1284324248" name="Group 1284324248"/>
                      <wpg:cNvGrpSpPr/>
                      <wpg:grpSpPr>
                        <a:xfrm>
                          <a:off x="2315145" y="3757140"/>
                          <a:ext cx="6061710" cy="45720"/>
                          <a:chOff x="1134" y="1909"/>
                          <a:chExt cx="9546" cy="179"/>
                        </a:xfrm>
                      </wpg:grpSpPr>
                      <wps:wsp>
                        <wps:cNvPr id="1286650552" name="Rectangle 1286650552"/>
                        <wps:cNvSpPr/>
                        <wps:spPr>
                          <a:xfrm>
                            <a:off x="1134" y="1909"/>
                            <a:ext cx="9525" cy="175"/>
                          </a:xfrm>
                          <a:prstGeom prst="rect">
                            <a:avLst/>
                          </a:prstGeom>
                          <a:noFill/>
                          <a:ln>
                            <a:noFill/>
                          </a:ln>
                        </wps:spPr>
                        <wps:txbx>
                          <w:txbxContent>
                            <w:p w14:paraId="1406BE93"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1833035401" name="Rectangle 1833035401"/>
                        <wps:cNvSpPr/>
                        <wps:spPr>
                          <a:xfrm>
                            <a:off x="1134" y="1909"/>
                            <a:ext cx="604" cy="179"/>
                          </a:xfrm>
                          <a:prstGeom prst="rect">
                            <a:avLst/>
                          </a:prstGeom>
                          <a:solidFill>
                            <a:srgbClr val="31AED6"/>
                          </a:solidFill>
                          <a:ln>
                            <a:noFill/>
                          </a:ln>
                        </wps:spPr>
                        <wps:txbx>
                          <w:txbxContent>
                            <w:p w14:paraId="137ACF1A"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1541358344" name="Rectangle 1541358344"/>
                        <wps:cNvSpPr/>
                        <wps:spPr>
                          <a:xfrm>
                            <a:off x="1646" y="1909"/>
                            <a:ext cx="238" cy="179"/>
                          </a:xfrm>
                          <a:prstGeom prst="rect">
                            <a:avLst/>
                          </a:prstGeom>
                          <a:solidFill>
                            <a:srgbClr val="184065"/>
                          </a:solidFill>
                          <a:ln>
                            <a:noFill/>
                          </a:ln>
                        </wps:spPr>
                        <wps:txbx>
                          <w:txbxContent>
                            <w:p w14:paraId="5222FF12"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793835971" name="Rectangle 793835971"/>
                        <wps:cNvSpPr/>
                        <wps:spPr>
                          <a:xfrm>
                            <a:off x="1832" y="1909"/>
                            <a:ext cx="266" cy="179"/>
                          </a:xfrm>
                          <a:prstGeom prst="rect">
                            <a:avLst/>
                          </a:prstGeom>
                          <a:solidFill>
                            <a:srgbClr val="31AED6"/>
                          </a:solidFill>
                          <a:ln>
                            <a:noFill/>
                          </a:ln>
                        </wps:spPr>
                        <wps:txbx>
                          <w:txbxContent>
                            <w:p w14:paraId="5723416C"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1162286975" name="Rectangle 1162286975"/>
                        <wps:cNvSpPr/>
                        <wps:spPr>
                          <a:xfrm>
                            <a:off x="2220" y="1909"/>
                            <a:ext cx="538" cy="179"/>
                          </a:xfrm>
                          <a:prstGeom prst="rect">
                            <a:avLst/>
                          </a:prstGeom>
                          <a:solidFill>
                            <a:srgbClr val="31AED6"/>
                          </a:solidFill>
                          <a:ln>
                            <a:noFill/>
                          </a:ln>
                        </wps:spPr>
                        <wps:txbx>
                          <w:txbxContent>
                            <w:p w14:paraId="34D0B63F"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747597487" name="Rectangle 747597487"/>
                        <wps:cNvSpPr/>
                        <wps:spPr>
                          <a:xfrm>
                            <a:off x="2030" y="1909"/>
                            <a:ext cx="190" cy="179"/>
                          </a:xfrm>
                          <a:prstGeom prst="rect">
                            <a:avLst/>
                          </a:prstGeom>
                          <a:solidFill>
                            <a:srgbClr val="184065"/>
                          </a:solidFill>
                          <a:ln>
                            <a:noFill/>
                          </a:ln>
                        </wps:spPr>
                        <wps:txbx>
                          <w:txbxContent>
                            <w:p w14:paraId="19CAF5A0"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1413187186" name="Rectangle 1413187186"/>
                        <wps:cNvSpPr/>
                        <wps:spPr>
                          <a:xfrm>
                            <a:off x="2714" y="1909"/>
                            <a:ext cx="328" cy="179"/>
                          </a:xfrm>
                          <a:prstGeom prst="rect">
                            <a:avLst/>
                          </a:prstGeom>
                          <a:solidFill>
                            <a:srgbClr val="184065"/>
                          </a:solidFill>
                          <a:ln>
                            <a:noFill/>
                          </a:ln>
                        </wps:spPr>
                        <wps:txbx>
                          <w:txbxContent>
                            <w:p w14:paraId="4B435CE9"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545828600" name="Rectangle 545828600"/>
                        <wps:cNvSpPr/>
                        <wps:spPr>
                          <a:xfrm>
                            <a:off x="3093" y="1909"/>
                            <a:ext cx="7587" cy="177"/>
                          </a:xfrm>
                          <a:prstGeom prst="rect">
                            <a:avLst/>
                          </a:prstGeom>
                          <a:solidFill>
                            <a:srgbClr val="184065"/>
                          </a:solidFill>
                          <a:ln>
                            <a:noFill/>
                          </a:ln>
                        </wps:spPr>
                        <wps:txbx>
                          <w:txbxContent>
                            <w:p w14:paraId="09BCD295" w14:textId="77777777" w:rsidR="00BB62F4" w:rsidRDefault="00BB62F4">
                              <w:pPr>
                                <w:spacing w:before="0" w:after="0"/>
                                <w:textDirection w:val="btLr"/>
                              </w:pPr>
                            </w:p>
                          </w:txbxContent>
                        </wps:txbx>
                        <wps:bodyPr spcFirstLastPara="1" wrap="square" lIns="91425" tIns="91425" rIns="91425" bIns="91425" anchor="ctr" anchorCtr="0">
                          <a:noAutofit/>
                        </wps:bodyPr>
                      </wps:wsp>
                      <wps:wsp>
                        <wps:cNvPr id="1871400364" name="Rectangle 1871400364"/>
                        <wps:cNvSpPr/>
                        <wps:spPr>
                          <a:xfrm>
                            <a:off x="2908" y="1909"/>
                            <a:ext cx="195" cy="179"/>
                          </a:xfrm>
                          <a:prstGeom prst="rect">
                            <a:avLst/>
                          </a:prstGeom>
                          <a:solidFill>
                            <a:srgbClr val="31AED6"/>
                          </a:solidFill>
                          <a:ln>
                            <a:noFill/>
                          </a:ln>
                        </wps:spPr>
                        <wps:txbx>
                          <w:txbxContent>
                            <w:p w14:paraId="6762D440" w14:textId="77777777" w:rsidR="00BB62F4" w:rsidRDefault="00BB62F4">
                              <w:pPr>
                                <w:spacing w:before="0" w:after="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6084E4D" id="Group 7" o:spid="_x0000_s1043" style="position:absolute;margin-left:-.05pt;margin-top:7.1pt;width:477.3pt;height:3.6pt;z-index:251664384" coordorigin="23151,37571" coordsize="6061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">
              <v:group id="Group 1284324248" o:spid="_x0000_s1044" style="position:absolute;left:23151;top:37571;width:60617;height:457" coordorigin="1134,1909" coordsize="954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">
                <v:rect id="Rectangle 1286650552" o:spid="_x0000_s1045" style="position:absolute;left:1134;top:1909;width:9525;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" filled="f" stroked="f">
                  <v:textbox inset="2.53958mm,2.53958mm,2.53958mm,2.53958mm">
                    <w:txbxContent>
                      <w:p w14:paraId="1406BE93" w14:textId="77777777" w:rsidR="00BB62F4" w:rsidRDefault="00BB62F4">
                        <w:pPr>
                          <w:spacing w:before="0" w:after="0"/>
                          <w:textDirection w:val="btLr"/>
                        </w:pPr>
                      </w:p>
                    </w:txbxContent>
                  </v:textbox>
                </v:rect>
                <v:rect id="Rectangle 1833035401" o:spid="_x0000_s1046"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" fillcolor="#31aed6" stroked="f">
                  <v:textbox inset="2.53958mm,2.53958mm,2.53958mm,2.53958mm">
                    <w:txbxContent>
                      <w:p w14:paraId="137ACF1A" w14:textId="77777777" w:rsidR="00BB62F4" w:rsidRDefault="00BB62F4">
                        <w:pPr>
                          <w:spacing w:before="0" w:after="0"/>
                          <w:textDirection w:val="btLr"/>
                        </w:pPr>
                      </w:p>
                    </w:txbxContent>
                  </v:textbox>
                </v:rect>
                <v:rect id="Rectangle 1541358344" o:spid="_x0000_s1047"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" fillcolor="#184065" stroked="f">
                  <v:textbox inset="2.53958mm,2.53958mm,2.53958mm,2.53958mm">
                    <w:txbxContent>
                      <w:p w14:paraId="5222FF12" w14:textId="77777777" w:rsidR="00BB62F4" w:rsidRDefault="00BB62F4">
                        <w:pPr>
                          <w:spacing w:before="0" w:after="0"/>
                          <w:textDirection w:val="btLr"/>
                        </w:pPr>
                      </w:p>
                    </w:txbxContent>
                  </v:textbox>
                </v:rect>
                <v:rect id="Rectangle 793835971" o:spid="_x0000_s1048"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" fillcolor="#31aed6" stroked="f">
                  <v:textbox inset="2.53958mm,2.53958mm,2.53958mm,2.53958mm">
                    <w:txbxContent>
                      <w:p w14:paraId="5723416C" w14:textId="77777777" w:rsidR="00BB62F4" w:rsidRDefault="00BB62F4">
                        <w:pPr>
                          <w:spacing w:before="0" w:after="0"/>
                          <w:textDirection w:val="btLr"/>
                        </w:pPr>
                      </w:p>
                    </w:txbxContent>
                  </v:textbox>
                </v:rect>
                <v:rect id="Rectangle 1162286975" o:spid="_x0000_s1049"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" fillcolor="#31aed6" stroked="f">
                  <v:textbox inset="2.53958mm,2.53958mm,2.53958mm,2.53958mm">
                    <w:txbxContent>
                      <w:p w14:paraId="34D0B63F" w14:textId="77777777" w:rsidR="00BB62F4" w:rsidRDefault="00BB62F4">
                        <w:pPr>
                          <w:spacing w:before="0" w:after="0"/>
                          <w:textDirection w:val="btLr"/>
                        </w:pPr>
                      </w:p>
                    </w:txbxContent>
                  </v:textbox>
                </v:rect>
                <v:rect id="Rectangle 747597487" o:spid="_x0000_s1050"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" fillcolor="#184065" stroked="f">
                  <v:textbox inset="2.53958mm,2.53958mm,2.53958mm,2.53958mm">
                    <w:txbxContent>
                      <w:p w14:paraId="19CAF5A0" w14:textId="77777777" w:rsidR="00BB62F4" w:rsidRDefault="00BB62F4">
                        <w:pPr>
                          <w:spacing w:before="0" w:after="0"/>
                          <w:textDirection w:val="btLr"/>
                        </w:pPr>
                      </w:p>
                    </w:txbxContent>
                  </v:textbox>
                </v:rect>
                <v:rect id="Rectangle 1413187186" o:spid="_x0000_s1051"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" fillcolor="#184065" stroked="f">
                  <v:textbox inset="2.53958mm,2.53958mm,2.53958mm,2.53958mm">
                    <w:txbxContent>
                      <w:p w14:paraId="4B435CE9" w14:textId="77777777" w:rsidR="00BB62F4" w:rsidRDefault="00BB62F4">
                        <w:pPr>
                          <w:spacing w:before="0" w:after="0"/>
                          <w:textDirection w:val="btLr"/>
                        </w:pPr>
                      </w:p>
                    </w:txbxContent>
                  </v:textbox>
                </v:rect>
                <v:rect id="Rectangle 545828600" o:spid="_x0000_s1052"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" fillcolor="#184065" stroked="f">
                  <v:textbox inset="2.53958mm,2.53958mm,2.53958mm,2.53958mm">
                    <w:txbxContent>
                      <w:p w14:paraId="09BCD295" w14:textId="77777777" w:rsidR="00BB62F4" w:rsidRDefault="00BB62F4">
                        <w:pPr>
                          <w:spacing w:before="0" w:after="0"/>
                          <w:textDirection w:val="btLr"/>
                        </w:pPr>
                      </w:p>
                    </w:txbxContent>
                  </v:textbox>
                </v:rect>
                <v:rect id="Rectangle 1871400364" o:spid="_x0000_s1053"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" fillcolor="#31aed6" stroked="f">
                  <v:textbox inset="2.53958mm,2.53958mm,2.53958mm,2.53958mm">
                    <w:txbxContent>
                      <w:p w14:paraId="6762D440" w14:textId="77777777" w:rsidR="00BB62F4" w:rsidRDefault="00BB62F4">
                        <w:pPr>
                          <w:spacing w:before="0" w:after="0"/>
                          <w:textDirection w:val="btLr"/>
                        </w:pPr>
                      </w:p>
                    </w:txbxContent>
                  </v:textbox>
                </v:rec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122"/>
    <w:multiLevelType w:val="multilevel"/>
    <w:tmpl w:val="F49481F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3F03835"/>
    <w:multiLevelType w:val="multilevel"/>
    <w:tmpl w:val="103E9C5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8D6FBD"/>
    <w:multiLevelType w:val="multilevel"/>
    <w:tmpl w:val="DA4E99F4"/>
    <w:lvl w:ilvl="0">
      <w:start w:val="1"/>
      <w:numFmt w:val="bullet"/>
      <w:lvlText w:val="▪"/>
      <w:lvlJc w:val="left"/>
      <w:pPr>
        <w:ind w:left="720" w:hanging="360"/>
      </w:pPr>
      <w:rPr>
        <w:rFonts w:ascii="Noto Sans Symbols" w:eastAsia="Noto Sans Symbols" w:hAnsi="Noto Sans Symbols" w:cs="Noto Sans Symbols"/>
        <w:color w:val="0000FF"/>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C632FA"/>
    <w:multiLevelType w:val="multilevel"/>
    <w:tmpl w:val="9C9C82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CA52B4"/>
    <w:multiLevelType w:val="multilevel"/>
    <w:tmpl w:val="280843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62C4DF9"/>
    <w:multiLevelType w:val="multilevel"/>
    <w:tmpl w:val="09509D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81F1B75"/>
    <w:multiLevelType w:val="multilevel"/>
    <w:tmpl w:val="380C7E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9046370"/>
    <w:multiLevelType w:val="multilevel"/>
    <w:tmpl w:val="204C79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90C0462"/>
    <w:multiLevelType w:val="multilevel"/>
    <w:tmpl w:val="B28C47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A211B94"/>
    <w:multiLevelType w:val="multilevel"/>
    <w:tmpl w:val="53E2823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B00785C"/>
    <w:multiLevelType w:val="multilevel"/>
    <w:tmpl w:val="5EDCAA46"/>
    <w:lvl w:ilvl="0">
      <w:start w:val="1"/>
      <w:numFmt w:val="bullet"/>
      <w:lvlText w:val="▪"/>
      <w:lvlJc w:val="left"/>
      <w:pPr>
        <w:ind w:left="1125" w:hanging="360"/>
      </w:pPr>
      <w:rPr>
        <w:rFonts w:ascii="Noto Sans Symbols" w:eastAsia="Noto Sans Symbols" w:hAnsi="Noto Sans Symbols" w:cs="Noto Sans Symbols"/>
        <w:color w:val="000000"/>
      </w:rPr>
    </w:lvl>
    <w:lvl w:ilvl="1">
      <w:start w:val="1"/>
      <w:numFmt w:val="bullet"/>
      <w:lvlText w:val="o"/>
      <w:lvlJc w:val="left"/>
      <w:pPr>
        <w:ind w:left="1845" w:hanging="360"/>
      </w:pPr>
      <w:rPr>
        <w:rFonts w:ascii="Courier New" w:eastAsia="Courier New" w:hAnsi="Courier New" w:cs="Courier New"/>
      </w:rPr>
    </w:lvl>
    <w:lvl w:ilvl="2">
      <w:start w:val="1"/>
      <w:numFmt w:val="bullet"/>
      <w:lvlText w:val="▪"/>
      <w:lvlJc w:val="left"/>
      <w:pPr>
        <w:ind w:left="2565" w:hanging="360"/>
      </w:pPr>
      <w:rPr>
        <w:rFonts w:ascii="Noto Sans Symbols" w:eastAsia="Noto Sans Symbols" w:hAnsi="Noto Sans Symbols" w:cs="Noto Sans Symbols"/>
      </w:rPr>
    </w:lvl>
    <w:lvl w:ilvl="3">
      <w:start w:val="1"/>
      <w:numFmt w:val="bullet"/>
      <w:lvlText w:val="●"/>
      <w:lvlJc w:val="left"/>
      <w:pPr>
        <w:ind w:left="3285" w:hanging="360"/>
      </w:pPr>
      <w:rPr>
        <w:rFonts w:ascii="Noto Sans Symbols" w:eastAsia="Noto Sans Symbols" w:hAnsi="Noto Sans Symbols" w:cs="Noto Sans Symbols"/>
      </w:rPr>
    </w:lvl>
    <w:lvl w:ilvl="4">
      <w:start w:val="1"/>
      <w:numFmt w:val="bullet"/>
      <w:lvlText w:val="o"/>
      <w:lvlJc w:val="left"/>
      <w:pPr>
        <w:ind w:left="4005" w:hanging="360"/>
      </w:pPr>
      <w:rPr>
        <w:rFonts w:ascii="Courier New" w:eastAsia="Courier New" w:hAnsi="Courier New" w:cs="Courier New"/>
      </w:rPr>
    </w:lvl>
    <w:lvl w:ilvl="5">
      <w:start w:val="1"/>
      <w:numFmt w:val="bullet"/>
      <w:lvlText w:val="▪"/>
      <w:lvlJc w:val="left"/>
      <w:pPr>
        <w:ind w:left="4725" w:hanging="360"/>
      </w:pPr>
      <w:rPr>
        <w:rFonts w:ascii="Noto Sans Symbols" w:eastAsia="Noto Sans Symbols" w:hAnsi="Noto Sans Symbols" w:cs="Noto Sans Symbols"/>
      </w:rPr>
    </w:lvl>
    <w:lvl w:ilvl="6">
      <w:start w:val="1"/>
      <w:numFmt w:val="bullet"/>
      <w:lvlText w:val="●"/>
      <w:lvlJc w:val="left"/>
      <w:pPr>
        <w:ind w:left="5445" w:hanging="360"/>
      </w:pPr>
      <w:rPr>
        <w:rFonts w:ascii="Noto Sans Symbols" w:eastAsia="Noto Sans Symbols" w:hAnsi="Noto Sans Symbols" w:cs="Noto Sans Symbols"/>
      </w:rPr>
    </w:lvl>
    <w:lvl w:ilvl="7">
      <w:start w:val="1"/>
      <w:numFmt w:val="bullet"/>
      <w:lvlText w:val="o"/>
      <w:lvlJc w:val="left"/>
      <w:pPr>
        <w:ind w:left="6165" w:hanging="360"/>
      </w:pPr>
      <w:rPr>
        <w:rFonts w:ascii="Courier New" w:eastAsia="Courier New" w:hAnsi="Courier New" w:cs="Courier New"/>
      </w:rPr>
    </w:lvl>
    <w:lvl w:ilvl="8">
      <w:start w:val="1"/>
      <w:numFmt w:val="bullet"/>
      <w:lvlText w:val="▪"/>
      <w:lvlJc w:val="left"/>
      <w:pPr>
        <w:ind w:left="6885" w:hanging="360"/>
      </w:pPr>
      <w:rPr>
        <w:rFonts w:ascii="Noto Sans Symbols" w:eastAsia="Noto Sans Symbols" w:hAnsi="Noto Sans Symbols" w:cs="Noto Sans Symbols"/>
      </w:rPr>
    </w:lvl>
  </w:abstractNum>
  <w:abstractNum w:abstractNumId="11" w15:restartNumberingAfterBreak="0">
    <w:nsid w:val="1BAE19A9"/>
    <w:multiLevelType w:val="multilevel"/>
    <w:tmpl w:val="62F6E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865624"/>
    <w:multiLevelType w:val="multilevel"/>
    <w:tmpl w:val="F948CD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E6831A6"/>
    <w:multiLevelType w:val="multilevel"/>
    <w:tmpl w:val="E47883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6B11FD8"/>
    <w:multiLevelType w:val="multilevel"/>
    <w:tmpl w:val="BCAC88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7546CC3"/>
    <w:multiLevelType w:val="multilevel"/>
    <w:tmpl w:val="62B073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292C2BFD"/>
    <w:multiLevelType w:val="multilevel"/>
    <w:tmpl w:val="8E246C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A8D1D6D"/>
    <w:multiLevelType w:val="multilevel"/>
    <w:tmpl w:val="284AFA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B2977CA"/>
    <w:multiLevelType w:val="multilevel"/>
    <w:tmpl w:val="827C3B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F8C437B"/>
    <w:multiLevelType w:val="multilevel"/>
    <w:tmpl w:val="FEBE7C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FC26A59"/>
    <w:multiLevelType w:val="multilevel"/>
    <w:tmpl w:val="6BEA68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15E1BFB"/>
    <w:multiLevelType w:val="multilevel"/>
    <w:tmpl w:val="649E9C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29C4577"/>
    <w:multiLevelType w:val="multilevel"/>
    <w:tmpl w:val="3C085BE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69944B2"/>
    <w:multiLevelType w:val="multilevel"/>
    <w:tmpl w:val="41F827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6F06310"/>
    <w:multiLevelType w:val="multilevel"/>
    <w:tmpl w:val="357C45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7C70661"/>
    <w:multiLevelType w:val="multilevel"/>
    <w:tmpl w:val="DBEA4494"/>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387775B5"/>
    <w:multiLevelType w:val="multilevel"/>
    <w:tmpl w:val="DAF464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CB47330"/>
    <w:multiLevelType w:val="multilevel"/>
    <w:tmpl w:val="87FAE8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CC81613"/>
    <w:multiLevelType w:val="multilevel"/>
    <w:tmpl w:val="F99C8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E272231"/>
    <w:multiLevelType w:val="multilevel"/>
    <w:tmpl w:val="ED6832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6904BD"/>
    <w:multiLevelType w:val="multilevel"/>
    <w:tmpl w:val="F8D818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401F34D4"/>
    <w:multiLevelType w:val="multilevel"/>
    <w:tmpl w:val="B210B06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34C6DB4"/>
    <w:multiLevelType w:val="multilevel"/>
    <w:tmpl w:val="9DF697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8D37C9F"/>
    <w:multiLevelType w:val="multilevel"/>
    <w:tmpl w:val="681ECFB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AE044EE"/>
    <w:multiLevelType w:val="multilevel"/>
    <w:tmpl w:val="2D56C7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B331A02"/>
    <w:multiLevelType w:val="multilevel"/>
    <w:tmpl w:val="0EA8BC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4B967B63"/>
    <w:multiLevelType w:val="multilevel"/>
    <w:tmpl w:val="A9B4D2E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C08039A"/>
    <w:multiLevelType w:val="multilevel"/>
    <w:tmpl w:val="BF76B4F4"/>
    <w:lvl w:ilvl="0">
      <w:start w:val="1"/>
      <w:numFmt w:val="bullet"/>
      <w:lvlText w:val="●"/>
      <w:lvlJc w:val="left"/>
      <w:pPr>
        <w:ind w:left="720" w:hanging="360"/>
      </w:pPr>
      <w:rPr>
        <w:rFonts w:ascii="Noto Sans Symbols" w:eastAsia="Noto Sans Symbols" w:hAnsi="Noto Sans Symbols" w:cs="Noto Sans Symbols"/>
        <w:color w:val="0D0D0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D126063"/>
    <w:multiLevelType w:val="multilevel"/>
    <w:tmpl w:val="E8B64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D3D5C68"/>
    <w:multiLevelType w:val="multilevel"/>
    <w:tmpl w:val="7C4865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50656876"/>
    <w:multiLevelType w:val="multilevel"/>
    <w:tmpl w:val="A61CEF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5346591A"/>
    <w:multiLevelType w:val="multilevel"/>
    <w:tmpl w:val="152A4C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4520D26"/>
    <w:multiLevelType w:val="multilevel"/>
    <w:tmpl w:val="42A423A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52D78C9"/>
    <w:multiLevelType w:val="multilevel"/>
    <w:tmpl w:val="2DCAE9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59E45096"/>
    <w:multiLevelType w:val="multilevel"/>
    <w:tmpl w:val="BEA693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5E885EE5"/>
    <w:multiLevelType w:val="multilevel"/>
    <w:tmpl w:val="62AA82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5F6E4C24"/>
    <w:multiLevelType w:val="multilevel"/>
    <w:tmpl w:val="7706C0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5F8254E9"/>
    <w:multiLevelType w:val="multilevel"/>
    <w:tmpl w:val="805025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5FEA574A"/>
    <w:multiLevelType w:val="multilevel"/>
    <w:tmpl w:val="DE085F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639C2342"/>
    <w:multiLevelType w:val="multilevel"/>
    <w:tmpl w:val="989061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64986E14"/>
    <w:multiLevelType w:val="multilevel"/>
    <w:tmpl w:val="6316CB64"/>
    <w:lvl w:ilvl="0">
      <w:start w:val="1"/>
      <w:numFmt w:val="upp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651B7668"/>
    <w:multiLevelType w:val="multilevel"/>
    <w:tmpl w:val="6E367502"/>
    <w:lvl w:ilvl="0">
      <w:start w:val="1"/>
      <w:numFmt w:val="bullet"/>
      <w:lvlText w:val="⮚"/>
      <w:lvlJc w:val="left"/>
      <w:pPr>
        <w:ind w:left="1590" w:hanging="360"/>
      </w:pPr>
      <w:rPr>
        <w:rFonts w:ascii="Noto Sans Symbols" w:eastAsia="Noto Sans Symbols" w:hAnsi="Noto Sans Symbols" w:cs="Noto Sans Symbols"/>
      </w:rPr>
    </w:lvl>
    <w:lvl w:ilvl="1">
      <w:start w:val="1"/>
      <w:numFmt w:val="bullet"/>
      <w:lvlText w:val="o"/>
      <w:lvlJc w:val="left"/>
      <w:pPr>
        <w:ind w:left="2310" w:hanging="360"/>
      </w:pPr>
      <w:rPr>
        <w:rFonts w:ascii="Courier New" w:eastAsia="Courier New" w:hAnsi="Courier New" w:cs="Courier New"/>
      </w:rPr>
    </w:lvl>
    <w:lvl w:ilvl="2">
      <w:start w:val="1"/>
      <w:numFmt w:val="bullet"/>
      <w:lvlText w:val="▪"/>
      <w:lvlJc w:val="left"/>
      <w:pPr>
        <w:ind w:left="3030" w:hanging="360"/>
      </w:pPr>
      <w:rPr>
        <w:rFonts w:ascii="Noto Sans Symbols" w:eastAsia="Noto Sans Symbols" w:hAnsi="Noto Sans Symbols" w:cs="Noto Sans Symbols"/>
      </w:rPr>
    </w:lvl>
    <w:lvl w:ilvl="3">
      <w:start w:val="1"/>
      <w:numFmt w:val="bullet"/>
      <w:lvlText w:val="●"/>
      <w:lvlJc w:val="left"/>
      <w:pPr>
        <w:ind w:left="3750" w:hanging="360"/>
      </w:pPr>
      <w:rPr>
        <w:rFonts w:ascii="Noto Sans Symbols" w:eastAsia="Noto Sans Symbols" w:hAnsi="Noto Sans Symbols" w:cs="Noto Sans Symbols"/>
      </w:rPr>
    </w:lvl>
    <w:lvl w:ilvl="4">
      <w:start w:val="1"/>
      <w:numFmt w:val="bullet"/>
      <w:lvlText w:val="o"/>
      <w:lvlJc w:val="left"/>
      <w:pPr>
        <w:ind w:left="4470" w:hanging="360"/>
      </w:pPr>
      <w:rPr>
        <w:rFonts w:ascii="Courier New" w:eastAsia="Courier New" w:hAnsi="Courier New" w:cs="Courier New"/>
      </w:rPr>
    </w:lvl>
    <w:lvl w:ilvl="5">
      <w:start w:val="1"/>
      <w:numFmt w:val="bullet"/>
      <w:lvlText w:val="▪"/>
      <w:lvlJc w:val="left"/>
      <w:pPr>
        <w:ind w:left="5190" w:hanging="360"/>
      </w:pPr>
      <w:rPr>
        <w:rFonts w:ascii="Noto Sans Symbols" w:eastAsia="Noto Sans Symbols" w:hAnsi="Noto Sans Symbols" w:cs="Noto Sans Symbols"/>
      </w:rPr>
    </w:lvl>
    <w:lvl w:ilvl="6">
      <w:start w:val="1"/>
      <w:numFmt w:val="bullet"/>
      <w:lvlText w:val="●"/>
      <w:lvlJc w:val="left"/>
      <w:pPr>
        <w:ind w:left="5910" w:hanging="360"/>
      </w:pPr>
      <w:rPr>
        <w:rFonts w:ascii="Noto Sans Symbols" w:eastAsia="Noto Sans Symbols" w:hAnsi="Noto Sans Symbols" w:cs="Noto Sans Symbols"/>
      </w:rPr>
    </w:lvl>
    <w:lvl w:ilvl="7">
      <w:start w:val="1"/>
      <w:numFmt w:val="bullet"/>
      <w:lvlText w:val="o"/>
      <w:lvlJc w:val="left"/>
      <w:pPr>
        <w:ind w:left="6630" w:hanging="360"/>
      </w:pPr>
      <w:rPr>
        <w:rFonts w:ascii="Courier New" w:eastAsia="Courier New" w:hAnsi="Courier New" w:cs="Courier New"/>
      </w:rPr>
    </w:lvl>
    <w:lvl w:ilvl="8">
      <w:start w:val="1"/>
      <w:numFmt w:val="bullet"/>
      <w:lvlText w:val="▪"/>
      <w:lvlJc w:val="left"/>
      <w:pPr>
        <w:ind w:left="7350" w:hanging="360"/>
      </w:pPr>
      <w:rPr>
        <w:rFonts w:ascii="Noto Sans Symbols" w:eastAsia="Noto Sans Symbols" w:hAnsi="Noto Sans Symbols" w:cs="Noto Sans Symbols"/>
      </w:rPr>
    </w:lvl>
  </w:abstractNum>
  <w:abstractNum w:abstractNumId="52" w15:restartNumberingAfterBreak="0">
    <w:nsid w:val="65D02E95"/>
    <w:multiLevelType w:val="multilevel"/>
    <w:tmpl w:val="782EE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61F767C"/>
    <w:multiLevelType w:val="multilevel"/>
    <w:tmpl w:val="9E5CDC56"/>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4" w15:restartNumberingAfterBreak="0">
    <w:nsid w:val="66E05E6C"/>
    <w:multiLevelType w:val="multilevel"/>
    <w:tmpl w:val="485ED2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68000A83"/>
    <w:multiLevelType w:val="multilevel"/>
    <w:tmpl w:val="0B68DC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6AF9106B"/>
    <w:multiLevelType w:val="multilevel"/>
    <w:tmpl w:val="24C61E1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7" w15:restartNumberingAfterBreak="0">
    <w:nsid w:val="6EDE03CF"/>
    <w:multiLevelType w:val="multilevel"/>
    <w:tmpl w:val="89CE1B28"/>
    <w:lvl w:ilvl="0">
      <w:start w:val="5"/>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6F805FA1"/>
    <w:multiLevelType w:val="multilevel"/>
    <w:tmpl w:val="E18E82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713A0CF7"/>
    <w:multiLevelType w:val="multilevel"/>
    <w:tmpl w:val="38D0EE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759A795B"/>
    <w:multiLevelType w:val="multilevel"/>
    <w:tmpl w:val="F9B069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77F94EB2"/>
    <w:multiLevelType w:val="multilevel"/>
    <w:tmpl w:val="7B3AF716"/>
    <w:lvl w:ilvl="0">
      <w:numFmt w:val="bullet"/>
      <w:lvlText w:val="-"/>
      <w:lvlJc w:val="left"/>
      <w:pPr>
        <w:ind w:left="1080" w:hanging="360"/>
      </w:pPr>
      <w:rPr>
        <w:rFonts w:ascii="Libre Franklin" w:eastAsia="Libre Franklin" w:hAnsi="Libre Franklin" w:cs="Libre Frankli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2" w15:restartNumberingAfterBreak="0">
    <w:nsid w:val="78965DB8"/>
    <w:multiLevelType w:val="multilevel"/>
    <w:tmpl w:val="5096EBF0"/>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3" w15:restartNumberingAfterBreak="0">
    <w:nsid w:val="7B3A3764"/>
    <w:multiLevelType w:val="multilevel"/>
    <w:tmpl w:val="92A2B7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7B49613C"/>
    <w:multiLevelType w:val="multilevel"/>
    <w:tmpl w:val="FD484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BD868E2"/>
    <w:multiLevelType w:val="multilevel"/>
    <w:tmpl w:val="D0CCC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7C6E5705"/>
    <w:multiLevelType w:val="multilevel"/>
    <w:tmpl w:val="4CB65D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7DF609A1"/>
    <w:multiLevelType w:val="multilevel"/>
    <w:tmpl w:val="34840D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7E0B4CEF"/>
    <w:multiLevelType w:val="multilevel"/>
    <w:tmpl w:val="61821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98829967">
    <w:abstractNumId w:val="0"/>
  </w:num>
  <w:num w:numId="2" w16cid:durableId="961882337">
    <w:abstractNumId w:val="29"/>
  </w:num>
  <w:num w:numId="3" w16cid:durableId="1375080391">
    <w:abstractNumId w:val="36"/>
  </w:num>
  <w:num w:numId="4" w16cid:durableId="2067341095">
    <w:abstractNumId w:val="28"/>
  </w:num>
  <w:num w:numId="5" w16cid:durableId="302546025">
    <w:abstractNumId w:val="22"/>
  </w:num>
  <w:num w:numId="6" w16cid:durableId="1680235583">
    <w:abstractNumId w:val="65"/>
  </w:num>
  <w:num w:numId="7" w16cid:durableId="727996554">
    <w:abstractNumId w:val="61"/>
  </w:num>
  <w:num w:numId="8" w16cid:durableId="1589579490">
    <w:abstractNumId w:val="32"/>
  </w:num>
  <w:num w:numId="9" w16cid:durableId="1883902555">
    <w:abstractNumId w:val="53"/>
  </w:num>
  <w:num w:numId="10" w16cid:durableId="486480002">
    <w:abstractNumId w:val="20"/>
  </w:num>
  <w:num w:numId="11" w16cid:durableId="1011221594">
    <w:abstractNumId w:val="42"/>
  </w:num>
  <w:num w:numId="12" w16cid:durableId="1291714593">
    <w:abstractNumId w:val="3"/>
  </w:num>
  <w:num w:numId="13" w16cid:durableId="1292244900">
    <w:abstractNumId w:val="5"/>
  </w:num>
  <w:num w:numId="14" w16cid:durableId="1287545373">
    <w:abstractNumId w:val="15"/>
  </w:num>
  <w:num w:numId="15" w16cid:durableId="1123692676">
    <w:abstractNumId w:val="2"/>
  </w:num>
  <w:num w:numId="16" w16cid:durableId="1590117829">
    <w:abstractNumId w:val="11"/>
  </w:num>
  <w:num w:numId="17" w16cid:durableId="1379818070">
    <w:abstractNumId w:val="9"/>
  </w:num>
  <w:num w:numId="18" w16cid:durableId="1460418821">
    <w:abstractNumId w:val="57"/>
  </w:num>
  <w:num w:numId="19" w16cid:durableId="551581979">
    <w:abstractNumId w:val="51"/>
  </w:num>
  <w:num w:numId="20" w16cid:durableId="556165734">
    <w:abstractNumId w:val="30"/>
  </w:num>
  <w:num w:numId="21" w16cid:durableId="1378552051">
    <w:abstractNumId w:val="13"/>
  </w:num>
  <w:num w:numId="22" w16cid:durableId="376128898">
    <w:abstractNumId w:val="63"/>
  </w:num>
  <w:num w:numId="23" w16cid:durableId="211424962">
    <w:abstractNumId w:val="10"/>
  </w:num>
  <w:num w:numId="24" w16cid:durableId="1207182730">
    <w:abstractNumId w:val="24"/>
  </w:num>
  <w:num w:numId="25" w16cid:durableId="1406882237">
    <w:abstractNumId w:val="62"/>
  </w:num>
  <w:num w:numId="26" w16cid:durableId="1938440296">
    <w:abstractNumId w:val="54"/>
  </w:num>
  <w:num w:numId="27" w16cid:durableId="933319937">
    <w:abstractNumId w:val="14"/>
  </w:num>
  <w:num w:numId="28" w16cid:durableId="590159545">
    <w:abstractNumId w:val="16"/>
  </w:num>
  <w:num w:numId="29" w16cid:durableId="254946968">
    <w:abstractNumId w:val="64"/>
  </w:num>
  <w:num w:numId="30" w16cid:durableId="1170674692">
    <w:abstractNumId w:val="52"/>
  </w:num>
  <w:num w:numId="31" w16cid:durableId="576130782">
    <w:abstractNumId w:val="50"/>
  </w:num>
  <w:num w:numId="32" w16cid:durableId="213977640">
    <w:abstractNumId w:val="56"/>
  </w:num>
  <w:num w:numId="33" w16cid:durableId="1198667013">
    <w:abstractNumId w:val="60"/>
  </w:num>
  <w:num w:numId="34" w16cid:durableId="1617717734">
    <w:abstractNumId w:val="66"/>
  </w:num>
  <w:num w:numId="35" w16cid:durableId="1191994110">
    <w:abstractNumId w:val="21"/>
  </w:num>
  <w:num w:numId="36" w16cid:durableId="366757770">
    <w:abstractNumId w:val="23"/>
  </w:num>
  <w:num w:numId="37" w16cid:durableId="1318612205">
    <w:abstractNumId w:val="49"/>
  </w:num>
  <w:num w:numId="38" w16cid:durableId="1900749484">
    <w:abstractNumId w:val="12"/>
  </w:num>
  <w:num w:numId="39" w16cid:durableId="1818301532">
    <w:abstractNumId w:val="58"/>
  </w:num>
  <w:num w:numId="40" w16cid:durableId="1689986070">
    <w:abstractNumId w:val="25"/>
  </w:num>
  <w:num w:numId="41" w16cid:durableId="1630428025">
    <w:abstractNumId w:val="40"/>
  </w:num>
  <w:num w:numId="42" w16cid:durableId="683896860">
    <w:abstractNumId w:val="1"/>
  </w:num>
  <w:num w:numId="43" w16cid:durableId="214508469">
    <w:abstractNumId w:val="44"/>
  </w:num>
  <w:num w:numId="44" w16cid:durableId="2122798856">
    <w:abstractNumId w:val="6"/>
  </w:num>
  <w:num w:numId="45" w16cid:durableId="98913190">
    <w:abstractNumId w:val="45"/>
  </w:num>
  <w:num w:numId="46" w16cid:durableId="1409107985">
    <w:abstractNumId w:val="35"/>
  </w:num>
  <w:num w:numId="47" w16cid:durableId="1892115169">
    <w:abstractNumId w:val="7"/>
  </w:num>
  <w:num w:numId="48" w16cid:durableId="1514144405">
    <w:abstractNumId w:val="19"/>
  </w:num>
  <w:num w:numId="49" w16cid:durableId="1696691529">
    <w:abstractNumId w:val="4"/>
  </w:num>
  <w:num w:numId="50" w16cid:durableId="1023290315">
    <w:abstractNumId w:val="68"/>
  </w:num>
  <w:num w:numId="51" w16cid:durableId="1799106738">
    <w:abstractNumId w:val="34"/>
  </w:num>
  <w:num w:numId="52" w16cid:durableId="292642209">
    <w:abstractNumId w:val="46"/>
  </w:num>
  <w:num w:numId="53" w16cid:durableId="1783841136">
    <w:abstractNumId w:val="37"/>
  </w:num>
  <w:num w:numId="54" w16cid:durableId="1369333810">
    <w:abstractNumId w:val="55"/>
  </w:num>
  <w:num w:numId="55" w16cid:durableId="896742128">
    <w:abstractNumId w:val="17"/>
  </w:num>
  <w:num w:numId="56" w16cid:durableId="2070760241">
    <w:abstractNumId w:val="47"/>
  </w:num>
  <w:num w:numId="57" w16cid:durableId="1571187477">
    <w:abstractNumId w:val="26"/>
  </w:num>
  <w:num w:numId="58" w16cid:durableId="1365520001">
    <w:abstractNumId w:val="41"/>
  </w:num>
  <w:num w:numId="59" w16cid:durableId="92895619">
    <w:abstractNumId w:val="39"/>
  </w:num>
  <w:num w:numId="60" w16cid:durableId="187989819">
    <w:abstractNumId w:val="27"/>
  </w:num>
  <w:num w:numId="61" w16cid:durableId="265043641">
    <w:abstractNumId w:val="48"/>
  </w:num>
  <w:num w:numId="62" w16cid:durableId="1966344733">
    <w:abstractNumId w:val="43"/>
  </w:num>
  <w:num w:numId="63" w16cid:durableId="1977711699">
    <w:abstractNumId w:val="8"/>
  </w:num>
  <w:num w:numId="64" w16cid:durableId="162471902">
    <w:abstractNumId w:val="31"/>
  </w:num>
  <w:num w:numId="65" w16cid:durableId="1727797743">
    <w:abstractNumId w:val="59"/>
  </w:num>
  <w:num w:numId="66" w16cid:durableId="132674649">
    <w:abstractNumId w:val="67"/>
  </w:num>
  <w:num w:numId="67" w16cid:durableId="1386640814">
    <w:abstractNumId w:val="18"/>
  </w:num>
  <w:num w:numId="68" w16cid:durableId="1773821389">
    <w:abstractNumId w:val="38"/>
  </w:num>
  <w:num w:numId="69" w16cid:durableId="784160324">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2F4"/>
    <w:rsid w:val="00294D8F"/>
    <w:rsid w:val="004022A3"/>
    <w:rsid w:val="00453BB6"/>
    <w:rsid w:val="0094427B"/>
    <w:rsid w:val="009A18A9"/>
    <w:rsid w:val="00A35248"/>
    <w:rsid w:val="00BB62F4"/>
    <w:rsid w:val="00D6437F"/>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FD97"/>
  <w15:docId w15:val="{4BD0B606-7993-49EE-BACB-96CF2F5E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lang w:val="en-GB" w:eastAsia="en-NG"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outlineLvl w:val="0"/>
    </w:pPr>
    <w:rPr>
      <w:rFonts w:ascii="Libre Franklin Medium" w:eastAsia="Libre Franklin Medium" w:hAnsi="Libre Franklin Medium" w:cs="Libre Franklin Medium"/>
      <w:color w:val="1A4066"/>
      <w:sz w:val="36"/>
      <w:szCs w:val="36"/>
    </w:rPr>
  </w:style>
  <w:style w:type="paragraph" w:styleId="Heading2">
    <w:name w:val="heading 2"/>
    <w:basedOn w:val="Normal"/>
    <w:next w:val="Normal"/>
    <w:uiPriority w:val="9"/>
    <w:unhideWhenUsed/>
    <w:qFormat/>
    <w:pPr>
      <w:keepNext/>
      <w:keepLines/>
      <w:widowControl w:val="0"/>
      <w:spacing w:before="480" w:line="264" w:lineRule="auto"/>
      <w:ind w:left="720" w:hanging="360"/>
      <w:outlineLvl w:val="1"/>
    </w:pPr>
    <w:rPr>
      <w:color w:val="165B89"/>
      <w:sz w:val="28"/>
      <w:szCs w:val="28"/>
    </w:rPr>
  </w:style>
  <w:style w:type="paragraph" w:styleId="Heading3">
    <w:name w:val="heading 3"/>
    <w:basedOn w:val="Normal"/>
    <w:next w:val="Normal"/>
    <w:uiPriority w:val="9"/>
    <w:unhideWhenUsed/>
    <w:qFormat/>
    <w:pPr>
      <w:keepNext/>
      <w:keepLines/>
      <w:spacing w:before="40"/>
      <w:outlineLvl w:val="2"/>
    </w:pPr>
    <w:rPr>
      <w:color w:val="243F60"/>
      <w:sz w:val="24"/>
      <w:szCs w:val="24"/>
    </w:rPr>
  </w:style>
  <w:style w:type="paragraph" w:styleId="Heading4">
    <w:name w:val="heading 4"/>
    <w:basedOn w:val="Normal"/>
    <w:next w:val="Normal"/>
    <w:uiPriority w:val="9"/>
    <w:unhideWhenUsed/>
    <w:qFormat/>
    <w:pPr>
      <w:keepNext/>
      <w:keepLines/>
      <w:spacing w:before="40"/>
      <w:outlineLvl w:val="3"/>
    </w:pPr>
    <w:rPr>
      <w:i/>
      <w:iCs/>
      <w:color w:val="365F91"/>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365F91"/>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single" w:sz="8" w:space="4" w:color="4F81BD"/>
        <w:right w:val="nil"/>
        <w:between w:val="nil"/>
      </w:pBdr>
      <w:spacing w:before="240" w:line="276" w:lineRule="auto"/>
    </w:pPr>
    <w:rPr>
      <w:rFonts w:ascii="Libre Franklin Medium" w:eastAsia="Libre Franklin Medium" w:hAnsi="Libre Franklin Medium" w:cs="Libre Franklin Medium"/>
      <w:color w:val="000000"/>
      <w:sz w:val="40"/>
      <w:szCs w:val="40"/>
    </w:rPr>
  </w:style>
  <w:style w:type="paragraph" w:styleId="Subtitle">
    <w:name w:val="Subtitle"/>
    <w:basedOn w:val="Normal"/>
    <w:next w:val="Normal"/>
    <w:uiPriority w:val="11"/>
    <w:qFormat/>
    <w:pPr>
      <w:pBdr>
        <w:top w:val="nil"/>
        <w:left w:val="nil"/>
        <w:bottom w:val="nil"/>
        <w:right w:val="nil"/>
        <w:between w:val="nil"/>
      </w:pBdr>
      <w:spacing w:before="0" w:after="160"/>
    </w:pPr>
    <w:rPr>
      <w:rFonts w:ascii="Cambria" w:eastAsia="Cambria" w:hAnsi="Cambria" w:cs="Cambria"/>
      <w:color w:val="5A5A5A"/>
      <w:sz w:val="22"/>
      <w:szCs w:val="22"/>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08" w:type="dxa"/>
        <w:bottom w:w="0" w:type="dxa"/>
        <w:right w:w="108" w:type="dxa"/>
      </w:tblCellMar>
    </w:tblPr>
  </w:style>
  <w:style w:type="table" w:customStyle="1" w:styleId="afd">
    <w:basedOn w:val="TableNormal0"/>
    <w:tblPr>
      <w:tblStyleRowBandSize w:val="1"/>
      <w:tblStyleColBandSize w:val="1"/>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15" w:type="dxa"/>
        <w:left w:w="15" w:type="dxa"/>
        <w:bottom w:w="15" w:type="dxa"/>
        <w:right w:w="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08" w:type="dxa"/>
        <w:bottom w:w="0" w:type="dxa"/>
        <w:right w:w="108" w:type="dxa"/>
      </w:tblCellMar>
    </w:tblPr>
  </w:style>
  <w:style w:type="table" w:customStyle="1" w:styleId="affb">
    <w:basedOn w:val="TableNormal0"/>
    <w:tblPr>
      <w:tblStyleRowBandSize w:val="1"/>
      <w:tblStyleColBandSize w:val="1"/>
      <w:tblCellMar>
        <w:top w:w="0" w:type="dxa"/>
        <w:left w:w="108" w:type="dxa"/>
        <w:bottom w:w="0" w:type="dxa"/>
        <w:right w:w="108" w:type="dxa"/>
      </w:tblCellMar>
    </w:tblPr>
  </w:style>
  <w:style w:type="table" w:customStyle="1" w:styleId="affc">
    <w:basedOn w:val="TableNormal0"/>
    <w:tblPr>
      <w:tblStyleRowBandSize w:val="1"/>
      <w:tblStyleColBandSize w:val="1"/>
      <w:tblCellMar>
        <w:top w:w="0" w:type="dxa"/>
        <w:left w:w="108" w:type="dxa"/>
        <w:bottom w:w="0" w:type="dxa"/>
        <w:right w:w="108" w:type="dxa"/>
      </w:tblCellMar>
    </w:tblPr>
  </w:style>
  <w:style w:type="table" w:customStyle="1" w:styleId="affd">
    <w:basedOn w:val="TableNormal0"/>
    <w:tblPr>
      <w:tblStyleRowBandSize w:val="1"/>
      <w:tblStyleColBandSize w:val="1"/>
      <w:tblCellMar>
        <w:top w:w="0" w:type="dxa"/>
        <w:left w:w="108" w:type="dxa"/>
        <w:bottom w:w="0" w:type="dxa"/>
        <w:right w:w="108" w:type="dxa"/>
      </w:tblCellMar>
    </w:tblPr>
  </w:style>
  <w:style w:type="table" w:customStyle="1" w:styleId="affe">
    <w:basedOn w:val="TableNormal0"/>
    <w:tblPr>
      <w:tblStyleRowBandSize w:val="1"/>
      <w:tblStyleColBandSize w:val="1"/>
      <w:tblCellMar>
        <w:top w:w="0" w:type="dxa"/>
        <w:left w:w="108" w:type="dxa"/>
        <w:bottom w:w="0" w:type="dxa"/>
        <w:right w:w="108" w:type="dxa"/>
      </w:tblCellMar>
    </w:tblPr>
  </w:style>
  <w:style w:type="table" w:customStyle="1" w:styleId="afff">
    <w:basedOn w:val="TableNormal0"/>
    <w:tblPr>
      <w:tblStyleRowBandSize w:val="1"/>
      <w:tblStyleColBandSize w:val="1"/>
      <w:tblCellMar>
        <w:top w:w="0" w:type="dxa"/>
        <w:left w:w="108" w:type="dxa"/>
        <w:bottom w:w="0" w:type="dxa"/>
        <w:right w:w="108" w:type="dxa"/>
      </w:tblCellMar>
    </w:tblPr>
  </w:style>
  <w:style w:type="table" w:customStyle="1" w:styleId="afff0">
    <w:basedOn w:val="TableNormal0"/>
    <w:tblPr>
      <w:tblStyleRowBandSize w:val="1"/>
      <w:tblStyleColBandSize w:val="1"/>
      <w:tblCellMar>
        <w:top w:w="0" w:type="dxa"/>
        <w:left w:w="108" w:type="dxa"/>
        <w:bottom w:w="0" w:type="dxa"/>
        <w:right w:w="108" w:type="dxa"/>
      </w:tblCellMar>
    </w:tblPr>
  </w:style>
  <w:style w:type="table" w:customStyle="1" w:styleId="afff1">
    <w:basedOn w:val="TableNormal0"/>
    <w:tblPr>
      <w:tblStyleRowBandSize w:val="1"/>
      <w:tblStyleColBandSize w:val="1"/>
      <w:tblCellMar>
        <w:top w:w="0" w:type="dxa"/>
        <w:left w:w="108" w:type="dxa"/>
        <w:bottom w:w="0" w:type="dxa"/>
        <w:right w:w="108" w:type="dxa"/>
      </w:tblCellMar>
    </w:tblPr>
  </w:style>
  <w:style w:type="table" w:customStyle="1" w:styleId="afff2">
    <w:basedOn w:val="TableNormal0"/>
    <w:tblPr>
      <w:tblStyleRowBandSize w:val="1"/>
      <w:tblStyleColBandSize w:val="1"/>
      <w:tblCellMar>
        <w:top w:w="0" w:type="dxa"/>
        <w:left w:w="108" w:type="dxa"/>
        <w:bottom w:w="0" w:type="dxa"/>
        <w:right w:w="108" w:type="dxa"/>
      </w:tblCellMar>
    </w:tblPr>
  </w:style>
  <w:style w:type="table" w:customStyle="1" w:styleId="afff3">
    <w:basedOn w:val="TableNormal0"/>
    <w:tblPr>
      <w:tblStyleRowBandSize w:val="1"/>
      <w:tblStyleColBandSize w:val="1"/>
      <w:tblCellMar>
        <w:top w:w="0" w:type="dxa"/>
        <w:left w:w="0" w:type="dxa"/>
        <w:bottom w:w="0" w:type="dxa"/>
        <w:right w:w="0" w:type="dxa"/>
      </w:tblCellMar>
    </w:tblPr>
  </w:style>
  <w:style w:type="character" w:styleId="Hyperlink">
    <w:name w:val="Hyperlink"/>
    <w:basedOn w:val="DefaultParagraphFont"/>
    <w:uiPriority w:val="99"/>
    <w:unhideWhenUsed/>
    <w:rsid w:val="009A18A9"/>
    <w:rPr>
      <w:color w:val="0000FF" w:themeColor="hyperlink"/>
      <w:u w:val="single"/>
    </w:rPr>
  </w:style>
  <w:style w:type="character" w:styleId="UnresolvedMention">
    <w:name w:val="Unresolved Mention"/>
    <w:basedOn w:val="DefaultParagraphFont"/>
    <w:uiPriority w:val="99"/>
    <w:semiHidden/>
    <w:unhideWhenUsed/>
    <w:rsid w:val="009A18A9"/>
    <w:rPr>
      <w:color w:val="605E5C"/>
      <w:shd w:val="clear" w:color="auto" w:fill="E1DFDD"/>
    </w:rPr>
  </w:style>
  <w:style w:type="character" w:styleId="FollowedHyperlink">
    <w:name w:val="FollowedHyperlink"/>
    <w:basedOn w:val="DefaultParagraphFont"/>
    <w:uiPriority w:val="99"/>
    <w:semiHidden/>
    <w:unhideWhenUsed/>
    <w:rsid w:val="009A18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nuprc.gov.ng/beneficial-ownership-information/" TargetMode="External"/><Relationship Id="rId21" Type="http://schemas.openxmlformats.org/officeDocument/2006/relationships/hyperlink" Target="https://nogabor.nuprc.gov.ng/" TargetMode="External"/><Relationship Id="rId42" Type="http://schemas.openxmlformats.org/officeDocument/2006/relationships/hyperlink" Target="https://br2025.nuprc.gov.ng/media/1wzl2i4m/nigeria-2025-licensing-round-guidelines.pdf" TargetMode="External"/><Relationship Id="rId63" Type="http://schemas.openxmlformats.org/officeDocument/2006/relationships/hyperlink" Target="https://bor.cac.gov.ng/" TargetMode="External"/><Relationship Id="rId84" Type="http://schemas.openxmlformats.org/officeDocument/2006/relationships/hyperlink" Target="https://br2025.nuprc.gov.ng/" TargetMode="External"/><Relationship Id="rId138" Type="http://schemas.openxmlformats.org/officeDocument/2006/relationships/hyperlink" Target="https://staging1977.nnpcgroup.com/documents/NNPC%20Limited%20Contract%20Transparency" TargetMode="External"/><Relationship Id="rId159" Type="http://schemas.openxmlformats.org/officeDocument/2006/relationships/hyperlink" Target="https://eiti.org/guidance-notes/building-auditable-record-beneficial-ownership" TargetMode="External"/><Relationship Id="rId170" Type="http://schemas.openxmlformats.org/officeDocument/2006/relationships/hyperlink" Target="http://cac.gov.ng" TargetMode="External"/><Relationship Id="rId191" Type="http://schemas.openxmlformats.org/officeDocument/2006/relationships/hyperlink" Target="https://nogabor.nuprc.gov.ng/" TargetMode="External"/><Relationship Id="rId205" Type="http://schemas.openxmlformats.org/officeDocument/2006/relationships/footer" Target="footer2.xml"/><Relationship Id="rId107" Type="http://schemas.openxmlformats.org/officeDocument/2006/relationships/hyperlink" Target="https://www.nuprc.gov.ng/upload/nuprc_laws/Nigerian_Upstream_Petroleum_Assignment_of_Interest_Regulations_2023_c66f0732c3436c05396b2258.pdf" TargetMode="External"/><Relationship Id="rId11" Type="http://schemas.openxmlformats.org/officeDocument/2006/relationships/hyperlink" Target="https://pia.gov.ng/wp-content/uploads/2022/08/PIA-2021_compressed-1.pdf" TargetMode="External"/><Relationship Id="rId32" Type="http://schemas.openxmlformats.org/officeDocument/2006/relationships/hyperlink" Target="https://eiti.org/sites/default/files/2024-09/Final%20Report_NEITI_OGA_2023_Final_26_Sept_2024.pdf" TargetMode="External"/><Relationship Id="rId53" Type="http://schemas.openxmlformats.org/officeDocument/2006/relationships/hyperlink" Target="https://www.nuprc.gov.ng/upload/nuprc_laws/Nigerian_Upstream_Petroleum_Assignment_of_Interest_Regulations_2023_c66f0732c3436c05396b2258.pdf" TargetMode="External"/><Relationship Id="rId74" Type="http://schemas.openxmlformats.org/officeDocument/2006/relationships/hyperlink" Target="https://www.nuprc.gov.ng/laws/regulations/draft" TargetMode="External"/><Relationship Id="rId128" Type="http://schemas.openxmlformats.org/officeDocument/2006/relationships/hyperlink" Target="https://eiti.org/sites/default/files/2024-09/Final%20Report_NEITI_OGA_2023_Final_26_Sept_2024.pdf" TargetMode="External"/><Relationship Id="rId149" Type="http://schemas.openxmlformats.org/officeDocument/2006/relationships/hyperlink" Target="https://www.nuprc.gov.ng/laws/licences" TargetMode="External"/><Relationship Id="rId5" Type="http://schemas.openxmlformats.org/officeDocument/2006/relationships/webSettings" Target="webSettings.xml"/><Relationship Id="rId95" Type="http://schemas.openxmlformats.org/officeDocument/2006/relationships/hyperlink" Target="https://neiti.gov.ng/VALIDATION/2026/TRANSPARENCY/NSWG%20Review%20-%20CT.docx" TargetMode="External"/><Relationship Id="rId160" Type="http://schemas.openxmlformats.org/officeDocument/2006/relationships/hyperlink" Target="https://eiti.org/guidance-notes/defining-and-capturing-data-ownership-and-control-state-owned-enterprises" TargetMode="External"/><Relationship Id="rId181" Type="http://schemas.openxmlformats.org/officeDocument/2006/relationships/hyperlink" Target="https://neiti.gov.ng/VALIDATION/2026/TRANSPARENCY/NSWG%20Review%20-%20BO.docx" TargetMode="External"/><Relationship Id="rId22" Type="http://schemas.openxmlformats.org/officeDocument/2006/relationships/hyperlink" Target="https://bor.cac.gov.ng/" TargetMode="External"/><Relationship Id="rId43" Type="http://schemas.openxmlformats.org/officeDocument/2006/relationships/hyperlink" Target="https://www.neiti.gov.ng/AUDIT%20REPORTS/OIL-AND-GAS/2022-2023/APPENDICES/Appendix%204-%20Contextual%20Report-%20NEITI%20OGA%2022-23%20-%20QC%20Copy.pdf" TargetMode="External"/><Relationship Id="rId64" Type="http://schemas.openxmlformats.org/officeDocument/2006/relationships/hyperlink" Target="https://bo.neiti.gov.ng/" TargetMode="External"/><Relationship Id="rId118" Type="http://schemas.openxmlformats.org/officeDocument/2006/relationships/hyperlink" Target="https://www.nuprc.gov.ng/api/files/nuprc_reports/acreage-situation-report_1781450569193.pdf" TargetMode="External"/><Relationship Id="rId139" Type="http://schemas.openxmlformats.org/officeDocument/2006/relationships/hyperlink" Target="https://www.resourcecontracts.org/search/group?q=&amp;company_name%5B%5D=Nigerian+National+Petroleum+Corporation" TargetMode="External"/><Relationship Id="rId85" Type="http://schemas.openxmlformats.org/officeDocument/2006/relationships/hyperlink" Target="https://br2024.nuprc.gov.ng/" TargetMode="External"/><Relationship Id="rId150" Type="http://schemas.openxmlformats.org/officeDocument/2006/relationships/hyperlink" Target="https://www.bing.com/ck/a?!&amp;&amp;p=c74065bd193b2f7f3dc0f27d08c3de52dcae57e856fdb8a1015d84afbf902c56JmltdHM9MTc3ODAyNTYwMA&amp;ptn=3&amp;ver=2&amp;hsh=4&amp;fclid=3d42f81e-349a-63be-2647-ed593504621e&amp;psq=Contract+Disclosure+NEITI&amp;u=a1aHR0cHM6Ly9uZWl0aS5nb3YubmcvY21zL25laXRpLXJhaXNlcy1jb21taXR0ZWUtb24tY29udHJhY3QtdHJhbnNwYXJlbmN5Lw" TargetMode="External"/><Relationship Id="rId171" Type="http://schemas.openxmlformats.org/officeDocument/2006/relationships/hyperlink" Target="http://bo.neiti.gov.ng" TargetMode="External"/><Relationship Id="rId192" Type="http://schemas.openxmlformats.org/officeDocument/2006/relationships/hyperlink" Target="https://bor.cac.gov.ng/" TargetMode="External"/><Relationship Id="rId206" Type="http://schemas.openxmlformats.org/officeDocument/2006/relationships/fontTable" Target="fontTable.xml"/><Relationship Id="rId12" Type="http://schemas.openxmlformats.org/officeDocument/2006/relationships/hyperlink" Target="https://www.nmdpra.gov.ng/" TargetMode="External"/><Relationship Id="rId33" Type="http://schemas.openxmlformats.org/officeDocument/2006/relationships/hyperlink" Target="https://pia.gov.ng/wp-content/uploads/2022/08/PIA-2021_compressed-1.pdf" TargetMode="External"/><Relationship Id="rId108" Type="http://schemas.openxmlformats.org/officeDocument/2006/relationships/hyperlink" Target="https://bor.cac.gov.ng/" TargetMode="External"/><Relationship Id="rId129" Type="http://schemas.openxmlformats.org/officeDocument/2006/relationships/hyperlink" Target="https://eiti.org/sites/default/files/2024-09/Final%20Report_NEITI_OGA_2023_Final_26_Sept_2024.pdf" TargetMode="External"/><Relationship Id="rId54" Type="http://schemas.openxmlformats.org/officeDocument/2006/relationships/hyperlink" Target="https://www.nuprc.gov.ng/upload/nuprc_laws/Draft-Nigeria-Upstream-Petroleum-Development-Contracts-Administration-Regulations_1781468678537.pdf" TargetMode="External"/><Relationship Id="rId75" Type="http://schemas.openxmlformats.org/officeDocument/2006/relationships/hyperlink" Target="https://www.nuprc.gov.ng/press-release-no-oil-licencing-guidelines-was-violated-nuprc/" TargetMode="External"/><Relationship Id="rId96" Type="http://schemas.openxmlformats.org/officeDocument/2006/relationships/hyperlink" Target="https://neiti.gov.ng/cms/wp-content/uploads/2025/05/2022-2024-Mini-Bid-and-Licensing-Round-260525.pdf" TargetMode="External"/><Relationship Id="rId140" Type="http://schemas.openxmlformats.org/officeDocument/2006/relationships/hyperlink" Target="https://eiti.org/sites/default/files/2024-09/Final%20Report_NEITI_OGA_2023_Final_26_Sept_2024.pdf" TargetMode="External"/><Relationship Id="rId161" Type="http://schemas.openxmlformats.org/officeDocument/2006/relationships/hyperlink" Target="https://eiti.org/guidance-notes/msg-oversight-beneficial-ownership-disclosures" TargetMode="External"/><Relationship Id="rId182" Type="http://schemas.openxmlformats.org/officeDocument/2006/relationships/hyperlink" Target="https://bor.cac.gov.ng/" TargetMode="External"/><Relationship Id="rId6" Type="http://schemas.openxmlformats.org/officeDocument/2006/relationships/footnotes" Target="footnotes.xml"/><Relationship Id="rId23" Type="http://schemas.openxmlformats.org/officeDocument/2006/relationships/hyperlink" Target="https://bor.cac.gov.ng/" TargetMode="External"/><Relationship Id="rId119" Type="http://schemas.openxmlformats.org/officeDocument/2006/relationships/hyperlink" Target="https://eiti.org/sites/default/files/2024-09/Final%20Report_NEITI_OGA_2023_Final_26_Sept_2024.pdf" TargetMode="External"/><Relationship Id="rId44" Type="http://schemas.openxmlformats.org/officeDocument/2006/relationships/hyperlink" Target="https://nogabor.nuprc.gov.ng/" TargetMode="External"/><Relationship Id="rId65" Type="http://schemas.openxmlformats.org/officeDocument/2006/relationships/hyperlink" Target="https://www.nuprc.gov.ng/api/files/nuprc_reports/acreage-situation-report_1781450569193.pdf" TargetMode="External"/><Relationship Id="rId86" Type="http://schemas.openxmlformats.org/officeDocument/2006/relationships/hyperlink" Target="https://ngfcp.nuprc.gov.ng/wp-content/uploads/2023/10/NUPRC-ANNOUNCES-SUCCESSFUL-BIDDERS-FOR-THE-NGFCP.pdf" TargetMode="External"/><Relationship Id="rId130" Type="http://schemas.openxmlformats.org/officeDocument/2006/relationships/hyperlink" Target="https://www.neiti.gov.ng/AUDIT%20REPORTS/OIL-AND-GAS/2022-2023/Final-Report-NEITI-OGA-2023-Final-26-Sept-2024.docx" TargetMode="External"/><Relationship Id="rId151" Type="http://schemas.openxmlformats.org/officeDocument/2006/relationships/hyperlink" Target="https://www.opengovpartnership.org/stories/contract-transparency-and-environmental-disclosure-opportunities-at-the-ogp-paris-summit/" TargetMode="External"/><Relationship Id="rId172" Type="http://schemas.openxmlformats.org/officeDocument/2006/relationships/hyperlink" Target="https://bo.neiti.gov.ng/og_search" TargetMode="External"/><Relationship Id="rId193" Type="http://schemas.openxmlformats.org/officeDocument/2006/relationships/hyperlink" Target="https://bo.neiti.gov.ng/og_search" TargetMode="External"/><Relationship Id="rId207" Type="http://schemas.openxmlformats.org/officeDocument/2006/relationships/theme" Target="theme/theme1.xml"/><Relationship Id="rId13" Type="http://schemas.openxmlformats.org/officeDocument/2006/relationships/hyperlink" Target="https://www.nuprc.gov.ng/" TargetMode="External"/><Relationship Id="rId109" Type="http://schemas.openxmlformats.org/officeDocument/2006/relationships/hyperlink" Target="https://eiti.org/eiti-requirements" TargetMode="External"/><Relationship Id="rId34" Type="http://schemas.openxmlformats.org/officeDocument/2006/relationships/hyperlink" Target="https://br2025.nuprc.gov.ng/faq/" TargetMode="External"/><Relationship Id="rId55" Type="http://schemas.openxmlformats.org/officeDocument/2006/relationships/hyperlink" Target="https://www.nuprc.gov.ng/laws/conversion-contracts" TargetMode="External"/><Relationship Id="rId76" Type="http://schemas.openxmlformats.org/officeDocument/2006/relationships/hyperlink" Target="https://eiti.org/sites/default/files/2024-09/Final%20Report_NEITI_OGA_2023_Final_26_Sept_2024.pdf" TargetMode="External"/><Relationship Id="rId97" Type="http://schemas.openxmlformats.org/officeDocument/2006/relationships/hyperlink" Target="https://www.nuprc.gov.ng/laws/licences" TargetMode="External"/><Relationship Id="rId120" Type="http://schemas.openxmlformats.org/officeDocument/2006/relationships/hyperlink" Target="https://eiti.org/sites/default/files/2024-09/Final%20Report_NEITI_OGA_2023_Final_26_Sept_2024.pdf" TargetMode="External"/><Relationship Id="rId141" Type="http://schemas.openxmlformats.org/officeDocument/2006/relationships/hyperlink" Target="https://eiti.org/sites/default/files/2024-09/Final%20Report_NEITI_OGA_2023_Final_26_Sept_2024.pdf" TargetMode="External"/><Relationship Id="rId7" Type="http://schemas.openxmlformats.org/officeDocument/2006/relationships/endnotes" Target="endnotes.xml"/><Relationship Id="rId162" Type="http://schemas.openxmlformats.org/officeDocument/2006/relationships/hyperlink" Target="https://bo.neiti.gov.ng/og_search" TargetMode="External"/><Relationship Id="rId183" Type="http://schemas.openxmlformats.org/officeDocument/2006/relationships/hyperlink" Target="https://www.nuprc.gov.ng/beneficial-ownership/" TargetMode="External"/><Relationship Id="rId24" Type="http://schemas.openxmlformats.org/officeDocument/2006/relationships/hyperlink" Target="https://bor.cac.gov.ng/" TargetMode="External"/><Relationship Id="rId40" Type="http://schemas.openxmlformats.org/officeDocument/2006/relationships/hyperlink" Target="https://pia.gov.ng/wp-content/uploads/2022/08/PIA-2021_compressed-1.pdf" TargetMode="External"/><Relationship Id="rId45" Type="http://schemas.openxmlformats.org/officeDocument/2006/relationships/hyperlink" Target="https://bor.cac.gov.ng/" TargetMode="External"/><Relationship Id="rId66" Type="http://schemas.openxmlformats.org/officeDocument/2006/relationships/hyperlink" Target="https://www.nuprc.gov.ng/licenses/" TargetMode="External"/><Relationship Id="rId87" Type="http://schemas.openxmlformats.org/officeDocument/2006/relationships/hyperlink" Target="https://ngfcp.nuprc.gov.ng/successful-applicants/" TargetMode="External"/><Relationship Id="rId110" Type="http://schemas.openxmlformats.org/officeDocument/2006/relationships/hyperlink" Target="https://eiti.org/guidance-notes/validation-guide-2023-eiti-standard" TargetMode="External"/><Relationship Id="rId115" Type="http://schemas.openxmlformats.org/officeDocument/2006/relationships/hyperlink" Target="https://elps.nuprc.gov.ng/Account/Login" TargetMode="External"/><Relationship Id="rId131" Type="http://schemas.openxmlformats.org/officeDocument/2006/relationships/hyperlink" Target="https://eiti.org/eiti-requirements" TargetMode="External"/><Relationship Id="rId136" Type="http://schemas.openxmlformats.org/officeDocument/2006/relationships/hyperlink" Target="https://www.nuprc.gov.ng/laws/licences" TargetMode="External"/><Relationship Id="rId157" Type="http://schemas.openxmlformats.org/officeDocument/2006/relationships/hyperlink" Target="https://eiti.org/guidance-notes/validation-guide-2023-eiti-standard" TargetMode="External"/><Relationship Id="rId178" Type="http://schemas.openxmlformats.org/officeDocument/2006/relationships/hyperlink" Target="https://www.cbn.gov.ng/Out/2023/CCD/Approved%20PEP%20Guidance%20May%202023-combined.pdf" TargetMode="External"/><Relationship Id="rId61" Type="http://schemas.openxmlformats.org/officeDocument/2006/relationships/hyperlink" Target="https://www.nuprc.gov.ng/upload/nuprc_laws/Nigerian_Upstream_Petroleum_Assignment_of_Interest_Regulations_2023_c66f0732c3436c05396b2258.pdf" TargetMode="External"/><Relationship Id="rId82" Type="http://schemas.openxmlformats.org/officeDocument/2006/relationships/hyperlink" Target="https://br.nuprc.gov.ng/" TargetMode="External"/><Relationship Id="rId152" Type="http://schemas.openxmlformats.org/officeDocument/2006/relationships/hyperlink" Target="https://eiti.org/sites/default/files/2023-11/EITI_Validation_of_Nigeria_2023_Final_Validation_report_June_2023.pdf" TargetMode="External"/><Relationship Id="rId173" Type="http://schemas.openxmlformats.org/officeDocument/2006/relationships/hyperlink" Target="https://nogabor.nuprc.gov.ng/" TargetMode="External"/><Relationship Id="rId194" Type="http://schemas.openxmlformats.org/officeDocument/2006/relationships/hyperlink" Target="https://nogabor.nuprc.gov.ng/" TargetMode="External"/><Relationship Id="rId199" Type="http://schemas.openxmlformats.org/officeDocument/2006/relationships/hyperlink" Target="https://guardian.ng/energy/neiti-tasks-dangote-refinery-on-compliance-obtains-records-from-198-oil-firms/" TargetMode="External"/><Relationship Id="rId203" Type="http://schemas.openxmlformats.org/officeDocument/2006/relationships/footer" Target="footer1.xml"/><Relationship Id="rId19" Type="http://schemas.openxmlformats.org/officeDocument/2006/relationships/hyperlink" Target="https://www.neiti.gov.ng/audits" TargetMode="External"/><Relationship Id="rId14" Type="http://schemas.openxmlformats.org/officeDocument/2006/relationships/hyperlink" Target="https://www.nuprc.gov.ng/" TargetMode="External"/><Relationship Id="rId30" Type="http://schemas.openxmlformats.org/officeDocument/2006/relationships/hyperlink" Target="https://www.nuprc.gov.ng/laws/licences" TargetMode="External"/><Relationship Id="rId35" Type="http://schemas.openxmlformats.org/officeDocument/2006/relationships/hyperlink" Target="https://ogisp.nuprc.gov.ng/Content/ApplicationGuideLines/OGISPGUIDELINE2024.pdf" TargetMode="External"/><Relationship Id="rId56" Type="http://schemas.openxmlformats.org/officeDocument/2006/relationships/hyperlink" Target="https://neiti.gov.ng/audits/oil-and-gas" TargetMode="External"/><Relationship Id="rId77" Type="http://schemas.openxmlformats.org/officeDocument/2006/relationships/hyperlink" Target="https://eiti.org/sites/default/files/2024-09/Final%20Report_NEITI_OGA_2023_Final_26_Sept_2024.pdf" TargetMode="External"/><Relationship Id="rId100" Type="http://schemas.openxmlformats.org/officeDocument/2006/relationships/hyperlink" Target="https://www.nuprc.gov.ng/laws/conversion-contracts" TargetMode="External"/><Relationship Id="rId105" Type="http://schemas.openxmlformats.org/officeDocument/2006/relationships/hyperlink" Target="https://www.neiti.gov.ng/audits/oil-and-gas?period=2022-2023&amp;type=all" TargetMode="External"/><Relationship Id="rId126" Type="http://schemas.openxmlformats.org/officeDocument/2006/relationships/hyperlink" Target="https://www.nuprc.gov.ng/api/files/nuprc_reports/acreage-situation-report_1781450569193.pdf" TargetMode="External"/><Relationship Id="rId147" Type="http://schemas.openxmlformats.org/officeDocument/2006/relationships/hyperlink" Target="https://staging1977.nnpcgroup.com/documents/NNPC%20Limited%20Contract%20Transparency" TargetMode="External"/><Relationship Id="rId168" Type="http://schemas.openxmlformats.org/officeDocument/2006/relationships/hyperlink" Target="https://www.nuprc.gov.ng/laws/licences" TargetMode="External"/><Relationship Id="rId8" Type="http://schemas.openxmlformats.org/officeDocument/2006/relationships/hyperlink" Target="https://eiti.org/guidance-notes/validation-guide-2023-eiti-standard" TargetMode="External"/><Relationship Id="rId51" Type="http://schemas.openxmlformats.org/officeDocument/2006/relationships/hyperlink" Target="https://neiti.gov.ng/audits/oil-and-gas" TargetMode="External"/><Relationship Id="rId72" Type="http://schemas.openxmlformats.org/officeDocument/2006/relationships/hyperlink" Target="https://br.nuprc.gov.ng/" TargetMode="External"/><Relationship Id="rId93" Type="http://schemas.openxmlformats.org/officeDocument/2006/relationships/hyperlink" Target="https://br2024.nuprc.gov.ng/enabling-laws" TargetMode="External"/><Relationship Id="rId98" Type="http://schemas.openxmlformats.org/officeDocument/2006/relationships/hyperlink" Target="https://www.nuprc.gov.ng/api/files/nuprc_reports/acreage-situation-report_1781450569193.pdf" TargetMode="External"/><Relationship Id="rId121" Type="http://schemas.openxmlformats.org/officeDocument/2006/relationships/hyperlink" Target="https://www.nuprc.gov.ng/api/files/nuprc_reports/acreage-situation-report_1781450569193.pdf" TargetMode="External"/><Relationship Id="rId142" Type="http://schemas.openxmlformats.org/officeDocument/2006/relationships/hyperlink" Target="https://www.nuprc.gov.ng/laws/licences" TargetMode="External"/><Relationship Id="rId163" Type="http://schemas.openxmlformats.org/officeDocument/2006/relationships/hyperlink" Target="https://www.nuprc.gov.ng/" TargetMode="External"/><Relationship Id="rId184" Type="http://schemas.openxmlformats.org/officeDocument/2006/relationships/hyperlink" Target="https://bo.neiti.gov.ng/" TargetMode="External"/><Relationship Id="rId189" Type="http://schemas.openxmlformats.org/officeDocument/2006/relationships/hyperlink" Target="https://ngxgroup.com/exchange/trade/equities/listed-companies/" TargetMode="External"/><Relationship Id="rId3" Type="http://schemas.openxmlformats.org/officeDocument/2006/relationships/styles" Target="styles.xml"/><Relationship Id="rId25" Type="http://schemas.openxmlformats.org/officeDocument/2006/relationships/hyperlink" Target="https://nogabor.nuprc.gov.ng/" TargetMode="External"/><Relationship Id="rId46" Type="http://schemas.openxmlformats.org/officeDocument/2006/relationships/hyperlink" Target="https://bo.neiti.gov.ng/" TargetMode="External"/><Relationship Id="rId67" Type="http://schemas.openxmlformats.org/officeDocument/2006/relationships/hyperlink" Target="https://www.nuprc.gov.ng/api/files/nuprc_reports/acreage-situation-report_1781450569193.pdf" TargetMode="External"/><Relationship Id="rId116" Type="http://schemas.openxmlformats.org/officeDocument/2006/relationships/hyperlink" Target="https://www.nuprc.gov.ng/wp-content/uploads/2024/08/National-Data-Repository-NDR-Regulations-1.pdf" TargetMode="External"/><Relationship Id="rId137" Type="http://schemas.openxmlformats.org/officeDocument/2006/relationships/hyperlink" Target="https://www.nuprc.gov.ng/laws/conversion-contracts" TargetMode="External"/><Relationship Id="rId158" Type="http://schemas.openxmlformats.org/officeDocument/2006/relationships/hyperlink" Target="https://eiti.org/guidance-notes/beneficial-ownership-model-declaration-form" TargetMode="External"/><Relationship Id="rId20" Type="http://schemas.openxmlformats.org/officeDocument/2006/relationships/hyperlink" Target="https://eiti.org/document/18622" TargetMode="External"/><Relationship Id="rId41" Type="http://schemas.openxmlformats.org/officeDocument/2006/relationships/hyperlink" Target="https://br.nuprc.gov.ng/" TargetMode="External"/><Relationship Id="rId62" Type="http://schemas.openxmlformats.org/officeDocument/2006/relationships/hyperlink" Target="https://nogabor.nuprc.gov.ng/" TargetMode="External"/><Relationship Id="rId83" Type="http://schemas.openxmlformats.org/officeDocument/2006/relationships/hyperlink" Target="https://br2024.nuprc.gov.ng/enabling-laws" TargetMode="External"/><Relationship Id="rId88" Type="http://schemas.openxmlformats.org/officeDocument/2006/relationships/hyperlink" Target="https://www.neiti.gov.ng/audits/oil-and-gas?period=2022-2023&amp;type=all" TargetMode="External"/><Relationship Id="rId111" Type="http://schemas.openxmlformats.org/officeDocument/2006/relationships/hyperlink" Target="https://eiti.org/guidance-notes/register-licenses" TargetMode="External"/><Relationship Id="rId132" Type="http://schemas.openxmlformats.org/officeDocument/2006/relationships/hyperlink" Target="https://eiti.org/guidance-notes/validation-guide-2023-eiti-standard" TargetMode="External"/><Relationship Id="rId153" Type="http://schemas.openxmlformats.org/officeDocument/2006/relationships/hyperlink" Target="https://neiti.gov.ng/cms/wp-content/uploads/2022/12/NSWG-Review-CT.docx" TargetMode="External"/><Relationship Id="rId174" Type="http://schemas.openxmlformats.org/officeDocument/2006/relationships/hyperlink" Target="https://www.nuprc.gov.ng/beneficial-ownership-information/" TargetMode="External"/><Relationship Id="rId179" Type="http://schemas.openxmlformats.org/officeDocument/2006/relationships/hyperlink" Target="https://bor.cac.gov.ng/" TargetMode="External"/><Relationship Id="rId195" Type="http://schemas.openxmlformats.org/officeDocument/2006/relationships/hyperlink" Target="https://www.neiti.gov.ng/AUDIT%20REPORTS/OIL-AND-GAS/2022-2023/APPENDICES/Appendix%204-%20Contextual%20Report-%20NEITI%20OGA%2022-23%20-%20QC%20Copy.pdf" TargetMode="External"/><Relationship Id="rId190" Type="http://schemas.openxmlformats.org/officeDocument/2006/relationships/hyperlink" Target="https://neiti.gov.ng/AUDIT%20REPORTS/OIL-AND-GAS/2022-2023/NEITI-OGA-2023-AUDIT-REPORT.pdf" TargetMode="External"/><Relationship Id="rId204" Type="http://schemas.openxmlformats.org/officeDocument/2006/relationships/header" Target="header2.xml"/><Relationship Id="rId15" Type="http://schemas.openxmlformats.org/officeDocument/2006/relationships/hyperlink" Target="https://www.nuprc.gov.ng/" TargetMode="External"/><Relationship Id="rId36" Type="http://schemas.openxmlformats.org/officeDocument/2006/relationships/hyperlink" Target="https://neiti.gov.ng/audits/oil-and-gas" TargetMode="External"/><Relationship Id="rId57" Type="http://schemas.openxmlformats.org/officeDocument/2006/relationships/hyperlink" Target="https://neiti.gov.ng/audits/oil-and-gas" TargetMode="External"/><Relationship Id="rId106" Type="http://schemas.openxmlformats.org/officeDocument/2006/relationships/hyperlink" Target="https://nogabor.nuprc.gov.ng/" TargetMode="External"/><Relationship Id="rId127" Type="http://schemas.openxmlformats.org/officeDocument/2006/relationships/hyperlink" Target="https://eiti.org/sites/default/files/2024-09/Final%20Report_NEITI_OGA_2023_Final_26_Sept_2024.pdf" TargetMode="External"/><Relationship Id="rId10" Type="http://schemas.openxmlformats.org/officeDocument/2006/relationships/hyperlink" Target="https://neiti.gov.ng/VALIDATION/2026/TRANSPARENCY/LICENSING,%20LEASING%20AND%20CONTRACTS%20IN%20THE%20JDZ.docx" TargetMode="External"/><Relationship Id="rId31" Type="http://schemas.openxmlformats.org/officeDocument/2006/relationships/hyperlink" Target="https://pia.gov.ng/wp-content/uploads/2022/08/PIA-2021_compressed-1.pdf" TargetMode="External"/><Relationship Id="rId52" Type="http://schemas.openxmlformats.org/officeDocument/2006/relationships/hyperlink" Target="https://neiti.gov.ng/audits/oil-and-gas" TargetMode="External"/><Relationship Id="rId73" Type="http://schemas.openxmlformats.org/officeDocument/2006/relationships/hyperlink" Target="https://www.neiti.gov.ng/AUDIT%20REPORTS/OIL-AND-GAS/2022-2023/Final-Report-NEITI-OGA-2023-Final-26-Sept-2024.docx" TargetMode="External"/><Relationship Id="rId78" Type="http://schemas.openxmlformats.org/officeDocument/2006/relationships/hyperlink" Target="https://eiti.org/sites/default/files/2024-09/Final%20Report_NEITI_OGA_2023_Final_26_Sept_2024.pdf" TargetMode="External"/><Relationship Id="rId94" Type="http://schemas.openxmlformats.org/officeDocument/2006/relationships/hyperlink" Target="https://br.nuprc.gov.ng/" TargetMode="External"/><Relationship Id="rId99" Type="http://schemas.openxmlformats.org/officeDocument/2006/relationships/hyperlink" Target="https://eiti.org/sites/default/files/2024-09/Final%20Report_NEITI_OGA_2023_Final_26_Sept_2024.pdf" TargetMode="External"/><Relationship Id="rId101" Type="http://schemas.openxmlformats.org/officeDocument/2006/relationships/hyperlink" Target="https://nuprcdemo.nuprc.gov.ng/upload/nuprc_laws/Draft-Nigerian-Upstream-Revocation-of-Licences-and-Leases-Regulations_1781468769493.pdf" TargetMode="External"/><Relationship Id="rId122" Type="http://schemas.openxmlformats.org/officeDocument/2006/relationships/hyperlink" Target="https://www.nuprc.gov.ng/api/files/nuprc_reports/acreage-situation-report_1781450569193.pdf" TargetMode="External"/><Relationship Id="rId143" Type="http://schemas.openxmlformats.org/officeDocument/2006/relationships/hyperlink" Target="https://www.nuprc.gov.ng/laws/licences" TargetMode="External"/><Relationship Id="rId148" Type="http://schemas.openxmlformats.org/officeDocument/2006/relationships/hyperlink" Target="https://www.nuprc.gov.ng/laws/conversion-contracts" TargetMode="External"/><Relationship Id="rId164" Type="http://schemas.openxmlformats.org/officeDocument/2006/relationships/hyperlink" Target="https://www.nuprc.gov.ng/" TargetMode="External"/><Relationship Id="rId169" Type="http://schemas.openxmlformats.org/officeDocument/2006/relationships/hyperlink" Target="https://www.nuprc.gov.ng/api/files/nuprc_reports/acreage-situation-report_1781450569193.pdf" TargetMode="External"/><Relationship Id="rId185" Type="http://schemas.openxmlformats.org/officeDocument/2006/relationships/hyperlink" Target="https://bo.neiti.gov.ng/og_search" TargetMode="External"/><Relationship Id="rId4" Type="http://schemas.openxmlformats.org/officeDocument/2006/relationships/settings" Target="settings.xml"/><Relationship Id="rId9" Type="http://schemas.openxmlformats.org/officeDocument/2006/relationships/hyperlink" Target="https://eiti.org/guidance-notes/contract-and-license-allocations" TargetMode="External"/><Relationship Id="rId180" Type="http://schemas.openxmlformats.org/officeDocument/2006/relationships/hyperlink" Target="https://eiti.org/countries/nigeria" TargetMode="External"/><Relationship Id="rId26" Type="http://schemas.openxmlformats.org/officeDocument/2006/relationships/hyperlink" Target="https://bo.neiti.gov.ng/" TargetMode="External"/><Relationship Id="rId47" Type="http://schemas.openxmlformats.org/officeDocument/2006/relationships/hyperlink" Target="https://www.nuprc.gov.ng/api/files/nuprc_reports/acreage-situation-report_1781450569193.pdf" TargetMode="External"/><Relationship Id="rId68" Type="http://schemas.openxmlformats.org/officeDocument/2006/relationships/hyperlink" Target="https://www.nuprc.gov.ng/upload/nuprc_laws/Draft-Nigeria-Upstream-Petroleum-Development-Contracts-Administration-Regulations_1781468678537.pdf" TargetMode="External"/><Relationship Id="rId89" Type="http://schemas.openxmlformats.org/officeDocument/2006/relationships/hyperlink" Target="https://nogabor.nuprc.gov.ng/" TargetMode="External"/><Relationship Id="rId112" Type="http://schemas.openxmlformats.org/officeDocument/2006/relationships/hyperlink" Target="https://www.nuprc.gov.ng/" TargetMode="External"/><Relationship Id="rId133" Type="http://schemas.openxmlformats.org/officeDocument/2006/relationships/hyperlink" Target="https://eiti.org/guidance-notes/contracts-archived" TargetMode="External"/><Relationship Id="rId154" Type="http://schemas.openxmlformats.org/officeDocument/2006/relationships/hyperlink" Target="https://www.opengovpartnership.org/stories/contract-transparency-and-environmental-disclosure-opportunities-at-the-ogp-paris-summit/" TargetMode="External"/><Relationship Id="rId175" Type="http://schemas.openxmlformats.org/officeDocument/2006/relationships/hyperlink" Target="https://nogabor.nuprc.gov.ng/" TargetMode="External"/><Relationship Id="rId196" Type="http://schemas.openxmlformats.org/officeDocument/2006/relationships/hyperlink" Target="https://neiti.gov.ng/AUDIT%20REPORTS/OIL-AND-GAS/2022-2023/NEITI-OGA-2023-AUDIT-REPORT.pdf" TargetMode="External"/><Relationship Id="rId200" Type="http://schemas.openxmlformats.org/officeDocument/2006/relationships/hyperlink" Target="https://thenationonlineng.net/neiti-gives-dangote-refinery-guidelines/" TargetMode="External"/><Relationship Id="rId16" Type="http://schemas.openxmlformats.org/officeDocument/2006/relationships/hyperlink" Target="https://www.nmdpra.gov.ng/" TargetMode="External"/><Relationship Id="rId37" Type="http://schemas.openxmlformats.org/officeDocument/2006/relationships/hyperlink" Target="https://www.neiti.gov.ng/legal" TargetMode="External"/><Relationship Id="rId58" Type="http://schemas.openxmlformats.org/officeDocument/2006/relationships/hyperlink" Target="https://www.nuprc.gov.ng/upload/nuprc_laws/Nigerian_Upstream_Petroleum_Assignment_of_Interest_Regulations_2023_c66f0732c3436c05396b2258.pdf" TargetMode="External"/><Relationship Id="rId79" Type="http://schemas.openxmlformats.org/officeDocument/2006/relationships/hyperlink" Target="https://eiti.org/sites/default/files/2024-09/Final%20Report_NEITI_OGA_2023_Final_26_Sept_2024.pdf" TargetMode="External"/><Relationship Id="rId102" Type="http://schemas.openxmlformats.org/officeDocument/2006/relationships/hyperlink" Target="https://pia.gov.ng/wp-content/uploads/2022/08/PIA-2021_compressed-1.pdf" TargetMode="External"/><Relationship Id="rId123" Type="http://schemas.openxmlformats.org/officeDocument/2006/relationships/hyperlink" Target="https://www.nuprc.gov.ng/api/files/nuprc_reports/acreage-situation-report_1781450569193.pdf" TargetMode="External"/><Relationship Id="rId144" Type="http://schemas.openxmlformats.org/officeDocument/2006/relationships/hyperlink" Target="https://staging1977.nnpcgroup.com/documents/NNPC%20Limited%20Contract%20Transparency" TargetMode="External"/><Relationship Id="rId90" Type="http://schemas.openxmlformats.org/officeDocument/2006/relationships/hyperlink" Target="https://bo.neiti.gov.ng/" TargetMode="External"/><Relationship Id="rId165" Type="http://schemas.openxmlformats.org/officeDocument/2006/relationships/hyperlink" Target="https://bor.cac.gov.ng/" TargetMode="External"/><Relationship Id="rId186" Type="http://schemas.openxmlformats.org/officeDocument/2006/relationships/hyperlink" Target="about:blank" TargetMode="External"/><Relationship Id="rId27" Type="http://schemas.openxmlformats.org/officeDocument/2006/relationships/hyperlink" Target="https://www.google.com/search?q=Production+Sharing+Contracts&amp;sca_esv=06655e5bf07ee195&amp;sxsrf=ANbL-n4Pq-cYVqFRZVh7ElHq0kk96oJqhA%3A1769078300156&amp;ei=HP5xaY-ZCYWdhbIPhc-ZqAY&amp;ved=2ahUKEwjxjN32-p6SAxXlVUEAHRmaMVYQgK4QegQIARAB&amp;uact=5&amp;oq=Which+type+of+agreement+does+the+country+issue+for+the+sector+covered+by+this+template+in+nigeria+oil+and+gas%3F+++&amp;gs_lp=Egxnd3Mtd2l6LXNlcnAicVdoaWNoIHR5cGUgb2YgYWdyZWVtZW50IGRvZXMgdGhlIGNvdW50cnkgaXNzdWUgZm9yIHRoZSBzZWN0b3IgY292ZXJlZCBieSB0aGlzIHRlbXBsYXRlIGluIG5pZ2VyaWEgb2lsIGFuZCBnYXM_ICAgSNtjUOwUWKxfcAJ4AJABAZgBxQWgAcEeqgELMi02LjQuMS4wLjG4AQPIAQD4AQH4AQKYAgKgAg6oAhDCAgcQIxgnGOoCwgIXEAAYgAQYkQIYtAIY5wYYigUY6gLYAQGYAwrxBa_Y7EbOgE0fugYGCAEQARgBkgcBMqAHghKyBwC4BwDCBwMyLTLIBwuACAA&amp;sclient=gws-wiz-serp&amp;mstk=AUtExfBVJPWC5HcEtxGz8Wh9rzN7tsxPeCLzZT373O9aCnrMgwUXxkuHvAz2apD8jiI3JK_EQ6BpnBt-T6AY7M47udv8rAUyzb_xy3WaXQ6sOiBiO_014or2swZsIoPkU3Q1rWmJNg3UBxMRWwwYLinglVg8im3FWF9-Fx7ZJ2SsXqK4a53NwRH-fQGC6urJus9Df0c3If0VjjDAwAKa9cnnedpH49ZUX6jJ5JrGyz3q9fqhd8M7mtCty6fxV8AaHMejqv-w7pTwmH_mI_-Nmq0dXgOi&amp;csui=3" TargetMode="External"/><Relationship Id="rId48" Type="http://schemas.openxmlformats.org/officeDocument/2006/relationships/hyperlink" Target="https://www.nuprc.gov.ng/laws/licences" TargetMode="External"/><Relationship Id="rId69" Type="http://schemas.openxmlformats.org/officeDocument/2006/relationships/hyperlink" Target="https://www.nuprc.gov.ng/api/files/nuprc_reports/acreage-situation-report_1781450569193.pdf" TargetMode="External"/><Relationship Id="rId113" Type="http://schemas.openxmlformats.org/officeDocument/2006/relationships/hyperlink" Target="https://www.nuprc.gov.ng/" TargetMode="External"/><Relationship Id="rId134" Type="http://schemas.openxmlformats.org/officeDocument/2006/relationships/hyperlink" Target="https://www.nuprc.gov.ng/" TargetMode="External"/><Relationship Id="rId80" Type="http://schemas.openxmlformats.org/officeDocument/2006/relationships/hyperlink" Target="https://www.nuprc.gov.ng/api/files/nuprc_reports/acreage-situation-report_1781450569193.pdf" TargetMode="External"/><Relationship Id="rId155" Type="http://schemas.openxmlformats.org/officeDocument/2006/relationships/hyperlink" Target="https://www.opengovpartnership.org/stories/contract-transparency-and-environmental-disclosure-opportunities-at-the-ogp-paris-summit/" TargetMode="External"/><Relationship Id="rId176" Type="http://schemas.openxmlformats.org/officeDocument/2006/relationships/hyperlink" Target="https://bo.neiti.gov.ng/about?utm_" TargetMode="External"/><Relationship Id="rId197" Type="http://schemas.openxmlformats.org/officeDocument/2006/relationships/hyperlink" Target="https://mediatracnet.com/2024/05/ongoing-engagement-with-extractive-firms-to-sensitise-them-on-industry-auditing-template-says-neiti/" TargetMode="External"/><Relationship Id="rId201" Type="http://schemas.openxmlformats.org/officeDocument/2006/relationships/hyperlink" Target="https://neiti.gov.ng/GOVERNING-STRUCTURE/6th%20NATIONAL%20STAKEHOLDER%20WORKING%20GROUP%20(NSWG)%20NIGERIA_S%20EITI%202026%20VALIDATION%20TEMPLATES%20SIGNOFF%20(1).pdf" TargetMode="External"/><Relationship Id="rId17" Type="http://schemas.openxmlformats.org/officeDocument/2006/relationships/hyperlink" Target="https://www.nmdpra.gov.ng/" TargetMode="External"/><Relationship Id="rId38" Type="http://schemas.openxmlformats.org/officeDocument/2006/relationships/hyperlink" Target="https://br.nuprc.gov.ng/" TargetMode="External"/><Relationship Id="rId59" Type="http://schemas.openxmlformats.org/officeDocument/2006/relationships/hyperlink" Target="https://pia.gov.ng/wp-content/uploads/2022/08/PIA-2021_compressed-1.pdf" TargetMode="External"/><Relationship Id="rId103" Type="http://schemas.openxmlformats.org/officeDocument/2006/relationships/hyperlink" Target="https://pia.gov.ng/wp-content/uploads/2022/08/PIA-2021_compressed-1.pdf" TargetMode="External"/><Relationship Id="rId124" Type="http://schemas.openxmlformats.org/officeDocument/2006/relationships/hyperlink" Target="https://www.nuprc.gov.ng/api/files/nuprc_reports/acreage-situation-report_1781450569193.pdf" TargetMode="External"/><Relationship Id="rId70" Type="http://schemas.openxmlformats.org/officeDocument/2006/relationships/hyperlink" Target="https://www.nuprc.gov.ng/laws/licences" TargetMode="External"/><Relationship Id="rId91" Type="http://schemas.openxmlformats.org/officeDocument/2006/relationships/hyperlink" Target="https://bor.cac.gov.ng/" TargetMode="External"/><Relationship Id="rId145" Type="http://schemas.openxmlformats.org/officeDocument/2006/relationships/hyperlink" Target="https://www.nuprc.gov.ng/laws/licences" TargetMode="External"/><Relationship Id="rId166" Type="http://schemas.openxmlformats.org/officeDocument/2006/relationships/hyperlink" Target="https://www.nuprc.gov.ng/" TargetMode="External"/><Relationship Id="rId187" Type="http://schemas.openxmlformats.org/officeDocument/2006/relationships/hyperlink" Target="https://neiti.gov.ng/VALIDATION/2026/TRANSPARENCY/NSWG%20Review%20-%20BO.docx" TargetMode="External"/><Relationship Id="rId1" Type="http://schemas.openxmlformats.org/officeDocument/2006/relationships/customXml" Target="../customXml/item1.xml"/><Relationship Id="rId28" Type="http://schemas.openxmlformats.org/officeDocument/2006/relationships/hyperlink" Target="https://www.google.com/search?q=Risk+Service+Contracts&amp;sca_esv=06655e5bf07ee195&amp;sxsrf=ANbL-n4Pq-cYVqFRZVh7ElHq0kk96oJqhA%3A1769078300156&amp;ei=HP5xaY-ZCYWdhbIPhc-ZqAY&amp;ved=2ahUKEwjxjN32-p6SAxXlVUEAHRmaMVYQgK4QegQIARAC&amp;uact=5&amp;oq=Which+type+of+agreement+does+the+country+issue+for+the+sector+covered+by+this+template+in+nigeria+oil+and+gas%3F+++&amp;gs_lp=Egxnd3Mtd2l6LXNlcnAicVdoaWNoIHR5cGUgb2YgYWdyZWVtZW50IGRvZXMgdGhlIGNvdW50cnkgaXNzdWUgZm9yIHRoZSBzZWN0b3IgY292ZXJlZCBieSB0aGlzIHRlbXBsYXRlIGluIG5pZ2VyaWEgb2lsIGFuZCBnYXM_ICAgSNtjUOwUWKxfcAJ4AJABAZgBxQWgAcEeqgELMi02LjQuMS4wLjG4AQPIAQD4AQH4AQKYAgKgAg6oAhDCAgcQIxgnGOoCwgIXEAAYgAQYkQIYtAIY5wYYigUY6gLYAQGYAwrxBa_Y7EbOgE0fugYGCAEQARgBkgcBMqAHghKyBwC4BwDCBwMyLTLIBwuACAA&amp;sclient=gws-wiz-serp&amp;mstk=AUtExfBVJPWC5HcEtxGz8Wh9rzN7tsxPeCLzZT373O9aCnrMgwUXxkuHvAz2apD8jiI3JK_EQ6BpnBt-T6AY7M47udv8rAUyzb_xy3WaXQ6sOiBiO_014or2swZsIoPkU3Q1rWmJNg3UBxMRWwwYLinglVg8im3FWF9-Fx7ZJ2SsXqK4a53NwRH-fQGC6urJus9Df0c3If0VjjDAwAKa9cnnedpH49ZUX6jJ5JrGyz3q9fqhd8M7mtCty6fxV8AaHMejqv-w7pTwmH_mI_-Nmq0dXgOi&amp;csui=3" TargetMode="External"/><Relationship Id="rId49" Type="http://schemas.openxmlformats.org/officeDocument/2006/relationships/hyperlink" Target="https://www.nuprc.gov.ng/api/files/nuprc_reports/acreage-situation-report_1781450569193.pdf" TargetMode="External"/><Relationship Id="rId114" Type="http://schemas.openxmlformats.org/officeDocument/2006/relationships/hyperlink" Target="https://www.nuprc.gov.ng/national-production-monitoring-system-npms/" TargetMode="External"/><Relationship Id="rId60" Type="http://schemas.openxmlformats.org/officeDocument/2006/relationships/hyperlink" Target="https://piaandyou.org/" TargetMode="External"/><Relationship Id="rId81" Type="http://schemas.openxmlformats.org/officeDocument/2006/relationships/hyperlink" Target="https://eiti.org/sites/default/files/2024-09/Final%20Report_NEITI_OGA_2023_Final_26_Sept_2024.pdf" TargetMode="External"/><Relationship Id="rId135" Type="http://schemas.openxmlformats.org/officeDocument/2006/relationships/hyperlink" Target="https://www.nuprc.gov.ng/" TargetMode="External"/><Relationship Id="rId156" Type="http://schemas.openxmlformats.org/officeDocument/2006/relationships/hyperlink" Target="https://eiti.org/eiti-requirements" TargetMode="External"/><Relationship Id="rId177" Type="http://schemas.openxmlformats.org/officeDocument/2006/relationships/hyperlink" Target="https://neiti.gov.ng/VALIDATION/2026/TRANSPARENCY/NSWG%20Review%20-%20BO.docx" TargetMode="External"/><Relationship Id="rId198" Type="http://schemas.openxmlformats.org/officeDocument/2006/relationships/hyperlink" Target="https://leadership.ng/neiti-targets-domestic-resource-mobilisation-in-2022-2023-oil-gas-mining-audits/" TargetMode="External"/><Relationship Id="rId202" Type="http://schemas.openxmlformats.org/officeDocument/2006/relationships/header" Target="header1.xml"/><Relationship Id="rId18" Type="http://schemas.openxmlformats.org/officeDocument/2006/relationships/hyperlink" Target="https://neiti.gov.ng/audits" TargetMode="External"/><Relationship Id="rId39" Type="http://schemas.openxmlformats.org/officeDocument/2006/relationships/hyperlink" Target="https://pia.gov.ng/wp-content/uploads/2022/08/PIA-2021_compressed-1.pdf" TargetMode="External"/><Relationship Id="rId50" Type="http://schemas.openxmlformats.org/officeDocument/2006/relationships/hyperlink" Target="https://www.nuprc.gov.ng/wp-content/uploads/2022/12/Consession-Situation-as-at-01-12-2022.pdf" TargetMode="External"/><Relationship Id="rId104" Type="http://schemas.openxmlformats.org/officeDocument/2006/relationships/hyperlink" Target="https://www.neiti.gov.ng/AUDIT%20REPORTS/OIL-AND-GAS/2022-2023/APPENDICES/Appendix%204-%20Contextual%20Report-%20NEITI%20OGA%2022-23%20-%20QC%20Copy.pdf" TargetMode="External"/><Relationship Id="rId125" Type="http://schemas.openxmlformats.org/officeDocument/2006/relationships/hyperlink" Target="https://eiti.org/sites/default/files/2024-09/Final%20Report_NEITI_OGA_2023_Final_26_Sept_2024.pdf" TargetMode="External"/><Relationship Id="rId146" Type="http://schemas.openxmlformats.org/officeDocument/2006/relationships/hyperlink" Target="https://www.nuprc.gov.ng/api/files/nuprc_reports/acreage-situation-report_1781450569193.pdf" TargetMode="External"/><Relationship Id="rId167" Type="http://schemas.openxmlformats.org/officeDocument/2006/relationships/hyperlink" Target="https://bo.neiti.gov.ng/og_search" TargetMode="External"/><Relationship Id="rId188" Type="http://schemas.openxmlformats.org/officeDocument/2006/relationships/hyperlink" Target="https://neiti.gov.ng/VALIDATION/2026/TRANSPARENCY/NSWG%20Review%20-%20BO.docx" TargetMode="External"/><Relationship Id="rId71" Type="http://schemas.openxmlformats.org/officeDocument/2006/relationships/hyperlink" Target="https://www.neiti.gov.ng/audits/oil-and-gas?period=2022-2023&amp;type=all" TargetMode="External"/><Relationship Id="rId92" Type="http://schemas.openxmlformats.org/officeDocument/2006/relationships/hyperlink" Target="https://bo.neiti.gov.ng/" TargetMode="External"/><Relationship Id="rId2" Type="http://schemas.openxmlformats.org/officeDocument/2006/relationships/numbering" Target="numbering.xml"/><Relationship Id="rId29" Type="http://schemas.openxmlformats.org/officeDocument/2006/relationships/hyperlink" Target="https://www.google.com/search?q=Petroleum+Industry+Act+%28PIA%29+2021&amp;sca_esv=06655e5bf07ee195&amp;sxsrf=ANbL-n4Pq-cYVqFRZVh7ElHq0kk96oJqhA%3A1769078300156&amp;ei=HP5xaY-ZCYWdhbIPhc-ZqAY&amp;ved=2ahUKEwjxjN32-p6SAxXlVUEAHRmaMVYQgK4QegQIARAD&amp;uact=5&amp;oq=Which+type+of+agreement+does+the+country+issue+for+the+sector+covered+by+this+template+in+nigeria+oil+and+gas%3F+++&amp;gs_lp=Egxnd3Mtd2l6LXNlcnAicVdoaWNoIHR5cGUgb2YgYWdyZWVtZW50IGRvZXMgdGhlIGNvdW50cnkgaXNzdWUgZm9yIHRoZSBzZWN0b3IgY292ZXJlZCBieSB0aGlzIHRlbXBsYXRlIGluIG5pZ2VyaWEgb2lsIGFuZCBnYXM_ICAgSNtjUOwUWKxfcAJ4AJABAZgBxQWgAcEeqgELMi02LjQuMS4wLjG4AQPIAQD4AQH4AQKYAgKgAg6oAhDCAgcQIxgnGOoCwgIXEAAYgAQYkQIYtAIY5wYYigUY6gLYAQGYAwrxBa_Y7EbOgE0fugYGCAEQARgBkgcBMqAHghKyBwC4BwDCBwMyLTLIBwuACAA&amp;sclient=gws-wiz-serp&amp;mstk=AUtExfBVJPWC5HcEtxGz8Wh9rzN7tsxPeCLzZT373O9aCnrMgwUXxkuHvAz2apD8jiI3JK_EQ6BpnBt-T6AY7M47udv8rAUyzb_xy3WaXQ6sOiBiO_014or2swZsIoPkU3Q1rWmJNg3UBxMRWwwYLinglVg8im3FWF9-Fx7ZJ2SsXqK4a53NwRH-fQGC6urJus9Df0c3If0VjjDAwAKa9cnnedpH49ZUX6jJ5JrGyz3q9fqhd8M7mtCty6fxV8AaHMejqv-w7pTwmH_mI_-Nmq0dXgOi&amp;csui=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1fZGH4qQTmF1nTjOlZoAwNQj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70</Pages>
  <Words>20005</Words>
  <Characters>114029</Characters>
  <Application>Microsoft Office Word</Application>
  <DocSecurity>0</DocSecurity>
  <Lines>950</Lines>
  <Paragraphs>267</Paragraphs>
  <ScaleCrop>false</ScaleCrop>
  <Company/>
  <LinksUpToDate>false</LinksUpToDate>
  <CharactersWithSpaces>133767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Clement Nwobi</cp:lastModifiedBy>
  <cp:revision>3</cp:revision>
  <dcterms:created xsi:type="dcterms:W3CDTF">2026-07-07T13:16:00Z</dcterms:created>
  <dcterms:modified xsi:type="dcterms:W3CDTF">2026-07-07T13:48:00Z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lpwstr>1660446864</vt:lpwstr>
  </property>
  <property fmtid="{D5CDD505-2E9C-101B-9397-08002B2CF9AE}" pid="4" name="MediaServiceImageTags">
    <vt:lpwstr>MediaServiceImageTags</vt:lpwstr>
  </property>
</Properties>
</file>