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364EE" w14:textId="77777777" w:rsidR="000C2081" w:rsidRDefault="000C2081">
      <w:pPr>
        <w:widowControl w:val="0"/>
      </w:pPr>
    </w:p>
    <w:tbl>
      <w:tblPr>
        <w:tblStyle w:val="a"/>
        <w:tblpPr w:leftFromText="180" w:rightFromText="180" w:vertAnchor="page" w:horzAnchor="margin"/>
        <w:tblW w:w="9026" w:type="dxa"/>
        <w:tblInd w:w="0" w:type="dxa"/>
        <w:tblLayout w:type="fixed"/>
        <w:tblLook w:val="0400" w:firstRow="0" w:lastRow="0" w:firstColumn="0" w:lastColumn="0" w:noHBand="0" w:noVBand="1"/>
      </w:tblPr>
      <w:tblGrid>
        <w:gridCol w:w="2078"/>
        <w:gridCol w:w="6948"/>
      </w:tblGrid>
      <w:tr w:rsidR="000C2081" w14:paraId="42443937" w14:textId="77777777">
        <w:trPr>
          <w:trHeight w:val="525"/>
        </w:trPr>
        <w:tc>
          <w:tcPr>
            <w:tcW w:w="9025" w:type="dxa"/>
            <w:gridSpan w:val="2"/>
            <w:tcBorders>
              <w:top w:val="single" w:sz="8" w:space="0" w:color="000000"/>
              <w:left w:val="single" w:sz="8" w:space="0" w:color="000000"/>
              <w:bottom w:val="single" w:sz="8" w:space="0" w:color="000000"/>
              <w:right w:val="single" w:sz="8" w:space="0" w:color="000000"/>
            </w:tcBorders>
            <w:vAlign w:val="bottom"/>
          </w:tcPr>
          <w:p w14:paraId="6853C9FD" w14:textId="77777777" w:rsidR="000C2081" w:rsidRDefault="006F191C">
            <w:pPr>
              <w:spacing w:after="160" w:line="259" w:lineRule="auto"/>
              <w:ind w:left="193"/>
              <w:jc w:val="center"/>
              <w:rPr>
                <w:rFonts w:ascii="Twentieth Century" w:eastAsia="Twentieth Century" w:hAnsi="Twentieth Century" w:cs="Twentieth Century"/>
                <w:b/>
                <w:bCs/>
                <w:i/>
                <w:iCs/>
                <w:sz w:val="24"/>
                <w:szCs w:val="24"/>
              </w:rPr>
            </w:pPr>
            <w:proofErr w:type="gramStart"/>
            <w:r>
              <w:rPr>
                <w:rFonts w:ascii="Twentieth Century" w:eastAsia="Twentieth Century" w:hAnsi="Twentieth Century" w:cs="Twentieth Century"/>
                <w:b/>
                <w:bCs/>
                <w:sz w:val="24"/>
                <w:szCs w:val="24"/>
              </w:rPr>
              <w:lastRenderedPageBreak/>
              <w:t>REPORT  ON</w:t>
            </w:r>
            <w:proofErr w:type="gramEnd"/>
            <w:r>
              <w:rPr>
                <w:rFonts w:ascii="Twentieth Century" w:eastAsia="Twentieth Century" w:hAnsi="Twentieth Century" w:cs="Twentieth Century"/>
                <w:b/>
                <w:bCs/>
                <w:sz w:val="24"/>
                <w:szCs w:val="24"/>
              </w:rPr>
              <w:t xml:space="preserve"> THE INAUGURAL REMBINAR DIALOGUE SERIES THEMED </w:t>
            </w:r>
            <w:r>
              <w:rPr>
                <w:rFonts w:ascii="Twentieth Century" w:eastAsia="Twentieth Century" w:hAnsi="Twentieth Century" w:cs="Twentieth Century"/>
                <w:b/>
                <w:bCs/>
                <w:i/>
                <w:iCs/>
                <w:sz w:val="24"/>
                <w:szCs w:val="24"/>
              </w:rPr>
              <w:t>TAX BILLS AND IMPLICATIONS FOR NEITI’S AUDITS</w:t>
            </w:r>
          </w:p>
          <w:p w14:paraId="7178CC58" w14:textId="77777777" w:rsidR="000C2081" w:rsidRDefault="000C2081">
            <w:pPr>
              <w:spacing w:after="160" w:line="259" w:lineRule="auto"/>
              <w:ind w:left="193"/>
              <w:jc w:val="center"/>
              <w:rPr>
                <w:rFonts w:ascii="Twentieth Century" w:eastAsia="Twentieth Century" w:hAnsi="Twentieth Century" w:cs="Twentieth Century"/>
                <w:b/>
                <w:bCs/>
                <w:sz w:val="24"/>
                <w:szCs w:val="24"/>
              </w:rPr>
            </w:pPr>
          </w:p>
        </w:tc>
      </w:tr>
      <w:tr w:rsidR="000C2081" w14:paraId="6F6AA8F0" w14:textId="77777777">
        <w:trPr>
          <w:trHeight w:val="48"/>
        </w:trPr>
        <w:tc>
          <w:tcPr>
            <w:tcW w:w="2078" w:type="dxa"/>
            <w:tcBorders>
              <w:top w:val="single" w:sz="8" w:space="0" w:color="000000"/>
              <w:left w:val="single" w:sz="8" w:space="0" w:color="000000"/>
              <w:bottom w:val="single" w:sz="8" w:space="0" w:color="000000"/>
              <w:right w:val="single" w:sz="8" w:space="0" w:color="000000"/>
            </w:tcBorders>
            <w:vAlign w:val="center"/>
          </w:tcPr>
          <w:p w14:paraId="4E53C686" w14:textId="77777777" w:rsidR="000C2081" w:rsidRDefault="006F191C">
            <w:pPr>
              <w:spacing w:after="160" w:line="259" w:lineRule="auto"/>
              <w:ind w:left="145"/>
              <w:rPr>
                <w:rFonts w:ascii="Twentieth Century" w:eastAsia="Twentieth Century" w:hAnsi="Twentieth Century" w:cs="Twentieth Century"/>
              </w:rPr>
            </w:pPr>
            <w:r>
              <w:rPr>
                <w:rFonts w:ascii="Twentieth Century" w:eastAsia="Twentieth Century" w:hAnsi="Twentieth Century" w:cs="Twentieth Century"/>
                <w:b/>
                <w:bCs/>
                <w:sz w:val="24"/>
                <w:szCs w:val="24"/>
              </w:rPr>
              <w:t xml:space="preserve">Meeting Date: </w:t>
            </w:r>
          </w:p>
        </w:tc>
        <w:tc>
          <w:tcPr>
            <w:tcW w:w="6947" w:type="dxa"/>
            <w:tcBorders>
              <w:top w:val="single" w:sz="8" w:space="0" w:color="000000"/>
              <w:left w:val="single" w:sz="8" w:space="0" w:color="000000"/>
              <w:bottom w:val="single" w:sz="8" w:space="0" w:color="000000"/>
              <w:right w:val="single" w:sz="8" w:space="0" w:color="000000"/>
            </w:tcBorders>
            <w:vAlign w:val="center"/>
          </w:tcPr>
          <w:p w14:paraId="7EF3F0D2" w14:textId="77777777" w:rsidR="000C2081" w:rsidRDefault="006F191C">
            <w:pPr>
              <w:spacing w:after="160" w:line="259" w:lineRule="auto"/>
              <w:rPr>
                <w:rFonts w:ascii="Twentieth Century" w:eastAsia="Twentieth Century" w:hAnsi="Twentieth Century" w:cs="Twentieth Century"/>
              </w:rPr>
            </w:pPr>
            <w:r>
              <w:rPr>
                <w:rFonts w:ascii="Twentieth Century" w:eastAsia="Twentieth Century" w:hAnsi="Twentieth Century" w:cs="Twentieth Century"/>
              </w:rPr>
              <w:t xml:space="preserve">  March 3, 2025. </w:t>
            </w:r>
          </w:p>
        </w:tc>
      </w:tr>
      <w:tr w:rsidR="000C2081" w14:paraId="20D2210B" w14:textId="77777777">
        <w:trPr>
          <w:trHeight w:val="201"/>
        </w:trPr>
        <w:tc>
          <w:tcPr>
            <w:tcW w:w="2078" w:type="dxa"/>
            <w:tcBorders>
              <w:top w:val="single" w:sz="8" w:space="0" w:color="000000"/>
              <w:left w:val="single" w:sz="8" w:space="0" w:color="000000"/>
              <w:bottom w:val="single" w:sz="8" w:space="0" w:color="000000"/>
              <w:right w:val="single" w:sz="8" w:space="0" w:color="000000"/>
            </w:tcBorders>
            <w:vAlign w:val="center"/>
          </w:tcPr>
          <w:p w14:paraId="69DFFABE" w14:textId="77777777" w:rsidR="000C2081" w:rsidRDefault="006F191C">
            <w:pPr>
              <w:spacing w:after="160" w:line="259" w:lineRule="auto"/>
              <w:ind w:left="145"/>
              <w:rPr>
                <w:rFonts w:ascii="Twentieth Century" w:eastAsia="Twentieth Century" w:hAnsi="Twentieth Century" w:cs="Twentieth Century"/>
              </w:rPr>
            </w:pPr>
            <w:r>
              <w:rPr>
                <w:rFonts w:ascii="Twentieth Century" w:eastAsia="Twentieth Century" w:hAnsi="Twentieth Century" w:cs="Twentieth Century"/>
                <w:b/>
                <w:bCs/>
                <w:sz w:val="24"/>
                <w:szCs w:val="24"/>
              </w:rPr>
              <w:t>Platform</w:t>
            </w:r>
          </w:p>
        </w:tc>
        <w:tc>
          <w:tcPr>
            <w:tcW w:w="6947" w:type="dxa"/>
            <w:tcBorders>
              <w:top w:val="single" w:sz="8" w:space="0" w:color="000000"/>
              <w:left w:val="single" w:sz="8" w:space="0" w:color="000000"/>
              <w:bottom w:val="single" w:sz="8" w:space="0" w:color="000000"/>
              <w:right w:val="single" w:sz="8" w:space="0" w:color="000000"/>
            </w:tcBorders>
            <w:vAlign w:val="center"/>
          </w:tcPr>
          <w:p w14:paraId="50A33918" w14:textId="77777777" w:rsidR="000C2081" w:rsidRDefault="006F191C">
            <w:pPr>
              <w:spacing w:after="160" w:line="259" w:lineRule="auto"/>
              <w:ind w:left="135"/>
              <w:rPr>
                <w:rFonts w:ascii="Twentieth Century" w:eastAsia="Twentieth Century" w:hAnsi="Twentieth Century" w:cs="Twentieth Century"/>
              </w:rPr>
            </w:pPr>
            <w:r>
              <w:rPr>
                <w:rFonts w:ascii="Twentieth Century" w:eastAsia="Twentieth Century" w:hAnsi="Twentieth Century" w:cs="Twentieth Century"/>
              </w:rPr>
              <w:t>Zoom</w:t>
            </w:r>
          </w:p>
        </w:tc>
      </w:tr>
      <w:tr w:rsidR="000C2081" w14:paraId="118EC8D4" w14:textId="77777777">
        <w:trPr>
          <w:trHeight w:val="2865"/>
        </w:trPr>
        <w:tc>
          <w:tcPr>
            <w:tcW w:w="2078" w:type="dxa"/>
            <w:tcBorders>
              <w:top w:val="single" w:sz="8" w:space="0" w:color="000000"/>
              <w:left w:val="single" w:sz="8" w:space="0" w:color="000000"/>
              <w:bottom w:val="single" w:sz="8" w:space="0" w:color="000000"/>
              <w:right w:val="single" w:sz="8" w:space="0" w:color="000000"/>
            </w:tcBorders>
          </w:tcPr>
          <w:p w14:paraId="384A55E0" w14:textId="77777777" w:rsidR="000C2081" w:rsidRDefault="006F191C">
            <w:pPr>
              <w:spacing w:after="160" w:line="259" w:lineRule="auto"/>
              <w:ind w:left="145"/>
              <w:rPr>
                <w:rFonts w:ascii="Twentieth Century" w:eastAsia="Twentieth Century" w:hAnsi="Twentieth Century" w:cs="Twentieth Century"/>
              </w:rPr>
            </w:pPr>
            <w:r>
              <w:rPr>
                <w:rFonts w:ascii="Twentieth Century" w:eastAsia="Twentieth Century" w:hAnsi="Twentieth Century" w:cs="Twentieth Century"/>
                <w:b/>
                <w:bCs/>
                <w:sz w:val="24"/>
                <w:szCs w:val="24"/>
              </w:rPr>
              <w:t>Participants</w:t>
            </w:r>
          </w:p>
        </w:tc>
        <w:tc>
          <w:tcPr>
            <w:tcW w:w="6947" w:type="dxa"/>
            <w:tcBorders>
              <w:top w:val="single" w:sz="8" w:space="0" w:color="000000"/>
              <w:left w:val="single" w:sz="8" w:space="0" w:color="000000"/>
              <w:bottom w:val="single" w:sz="8" w:space="0" w:color="000000"/>
              <w:right w:val="single" w:sz="8" w:space="0" w:color="000000"/>
            </w:tcBorders>
            <w:vAlign w:val="center"/>
          </w:tcPr>
          <w:p w14:paraId="16CD32AB" w14:textId="77777777" w:rsidR="000C2081" w:rsidRDefault="006F191C">
            <w:pPr>
              <w:spacing w:after="52" w:line="259" w:lineRule="auto"/>
              <w:rPr>
                <w:rFonts w:ascii="Twentieth Century" w:eastAsia="Twentieth Century" w:hAnsi="Twentieth Century" w:cs="Twentieth Century"/>
              </w:rPr>
            </w:pPr>
            <w:r>
              <w:rPr>
                <w:rFonts w:ascii="Twentieth Century" w:eastAsia="Twentieth Century" w:hAnsi="Twentieth Century" w:cs="Twentieth Century"/>
                <w:b/>
                <w:bCs/>
              </w:rPr>
              <w:t xml:space="preserve">Participants: </w:t>
            </w:r>
            <w:r>
              <w:rPr>
                <w:rFonts w:ascii="Twentieth Century" w:eastAsia="Twentieth Century" w:hAnsi="Twentieth Century" w:cs="Twentieth Century"/>
              </w:rPr>
              <w:t>98 attendees</w:t>
            </w:r>
          </w:p>
          <w:p w14:paraId="591D77C0" w14:textId="77777777" w:rsidR="000C2081" w:rsidRDefault="006F191C">
            <w:pPr>
              <w:spacing w:line="240" w:lineRule="auto"/>
              <w:rPr>
                <w:rFonts w:ascii="Twentieth Century" w:eastAsia="Twentieth Century" w:hAnsi="Twentieth Century" w:cs="Twentieth Century"/>
              </w:rPr>
            </w:pPr>
            <w:r>
              <w:rPr>
                <w:rFonts w:ascii="Twentieth Century" w:eastAsia="Twentieth Century" w:hAnsi="Twentieth Century" w:cs="Twentieth Century"/>
              </w:rPr>
              <w:t xml:space="preserve"> </w:t>
            </w:r>
          </w:p>
          <w:p w14:paraId="5A87F257" w14:textId="77777777" w:rsidR="000C2081" w:rsidRDefault="006F191C">
            <w:pPr>
              <w:spacing w:after="160" w:line="259" w:lineRule="auto"/>
              <w:rPr>
                <w:rFonts w:ascii="Twentieth Century" w:eastAsia="Twentieth Century" w:hAnsi="Twentieth Century" w:cs="Twentieth Century"/>
              </w:rPr>
            </w:pPr>
            <w:proofErr w:type="spellStart"/>
            <w:r>
              <w:rPr>
                <w:rFonts w:ascii="Twentieth Century" w:eastAsia="Twentieth Century" w:hAnsi="Twentieth Century" w:cs="Twentieth Century"/>
                <w:b/>
                <w:bCs/>
              </w:rPr>
              <w:t>OrderPaper</w:t>
            </w:r>
            <w:proofErr w:type="spellEnd"/>
            <w:r>
              <w:rPr>
                <w:rFonts w:ascii="Twentieth Century" w:eastAsia="Twentieth Century" w:hAnsi="Twentieth Century" w:cs="Twentieth Century"/>
                <w:b/>
                <w:bCs/>
              </w:rPr>
              <w:t xml:space="preserve"> Team: </w:t>
            </w:r>
            <w:r>
              <w:rPr>
                <w:rFonts w:ascii="Twentieth Century" w:eastAsia="Twentieth Century" w:hAnsi="Twentieth Century" w:cs="Twentieth Century"/>
              </w:rPr>
              <w:t xml:space="preserve">12 (Male - 6, Female - 6) </w:t>
            </w:r>
          </w:p>
          <w:p w14:paraId="2C68DB88" w14:textId="77777777" w:rsidR="000C2081" w:rsidRDefault="000C2081">
            <w:pPr>
              <w:spacing w:after="160" w:line="259" w:lineRule="auto"/>
              <w:ind w:left="130"/>
              <w:rPr>
                <w:rFonts w:ascii="Twentieth Century" w:eastAsia="Twentieth Century" w:hAnsi="Twentieth Century" w:cs="Twentieth Century"/>
              </w:rPr>
            </w:pPr>
          </w:p>
          <w:p w14:paraId="4DBAC7C6" w14:textId="77777777" w:rsidR="000C2081" w:rsidRDefault="006F191C">
            <w:pPr>
              <w:spacing w:after="160" w:line="259" w:lineRule="auto"/>
              <w:ind w:left="130"/>
              <w:rPr>
                <w:rFonts w:ascii="Twentieth Century" w:eastAsia="Twentieth Century" w:hAnsi="Twentieth Century" w:cs="Twentieth Century"/>
              </w:rPr>
            </w:pPr>
            <w:r>
              <w:rPr>
                <w:rFonts w:ascii="Twentieth Century" w:eastAsia="Twentieth Century" w:hAnsi="Twentieth Century" w:cs="Twentieth Century"/>
                <w:b/>
                <w:bCs/>
              </w:rPr>
              <w:t>Total: 110</w:t>
            </w:r>
          </w:p>
        </w:tc>
      </w:tr>
      <w:tr w:rsidR="000C2081" w14:paraId="76877B4C" w14:textId="77777777">
        <w:trPr>
          <w:trHeight w:val="488"/>
        </w:trPr>
        <w:tc>
          <w:tcPr>
            <w:tcW w:w="2078" w:type="dxa"/>
            <w:tcBorders>
              <w:top w:val="single" w:sz="8" w:space="0" w:color="000000"/>
              <w:left w:val="single" w:sz="8" w:space="0" w:color="000000"/>
              <w:bottom w:val="single" w:sz="8" w:space="0" w:color="000000"/>
              <w:right w:val="single" w:sz="8" w:space="0" w:color="000000"/>
            </w:tcBorders>
          </w:tcPr>
          <w:p w14:paraId="2DBB34F3" w14:textId="77777777" w:rsidR="000C2081" w:rsidRDefault="006F191C">
            <w:pPr>
              <w:spacing w:after="160" w:line="259" w:lineRule="auto"/>
              <w:ind w:left="10"/>
              <w:rPr>
                <w:rFonts w:ascii="Twentieth Century" w:eastAsia="Twentieth Century" w:hAnsi="Twentieth Century" w:cs="Twentieth Century"/>
              </w:rPr>
            </w:pPr>
            <w:r>
              <w:rPr>
                <w:rFonts w:ascii="Twentieth Century" w:eastAsia="Twentieth Century" w:hAnsi="Twentieth Century" w:cs="Twentieth Century"/>
                <w:b/>
                <w:bCs/>
                <w:sz w:val="24"/>
                <w:szCs w:val="24"/>
              </w:rPr>
              <w:t xml:space="preserve">Objectives </w:t>
            </w:r>
          </w:p>
        </w:tc>
        <w:tc>
          <w:tcPr>
            <w:tcW w:w="6947" w:type="dxa"/>
            <w:tcBorders>
              <w:top w:val="single" w:sz="8" w:space="0" w:color="000000"/>
              <w:left w:val="single" w:sz="8" w:space="0" w:color="000000"/>
              <w:bottom w:val="single" w:sz="8" w:space="0" w:color="000000"/>
              <w:right w:val="single" w:sz="8" w:space="0" w:color="000000"/>
            </w:tcBorders>
            <w:vAlign w:val="center"/>
          </w:tcPr>
          <w:p w14:paraId="01EB1025" w14:textId="77777777" w:rsidR="000C2081" w:rsidRDefault="000C2081">
            <w:pPr>
              <w:spacing w:after="160" w:line="259" w:lineRule="auto"/>
              <w:rPr>
                <w:rFonts w:ascii="Twentieth Century" w:eastAsia="Twentieth Century" w:hAnsi="Twentieth Century" w:cs="Twentieth Century"/>
              </w:rPr>
            </w:pPr>
          </w:p>
          <w:p w14:paraId="31D701F5" w14:textId="77777777" w:rsidR="000C2081" w:rsidRDefault="006F191C">
            <w:pPr>
              <w:numPr>
                <w:ilvl w:val="0"/>
                <w:numId w:val="1"/>
              </w:numPr>
              <w:spacing w:line="259" w:lineRule="auto"/>
              <w:ind w:hanging="495"/>
              <w:rPr>
                <w:rFonts w:ascii="Noto Sans Symbols" w:eastAsia="Noto Sans Symbols" w:hAnsi="Noto Sans Symbols" w:cs="Noto Sans Symbols"/>
              </w:rPr>
            </w:pPr>
            <w:r>
              <w:rPr>
                <w:rFonts w:ascii="Twentieth Century" w:eastAsia="Twentieth Century" w:hAnsi="Twentieth Century" w:cs="Twentieth Century"/>
                <w:sz w:val="24"/>
                <w:szCs w:val="24"/>
              </w:rPr>
              <w:t>Discuss the alignment of tax reforms with NEITI’s transparency and accountability mandate.</w:t>
            </w:r>
          </w:p>
          <w:p w14:paraId="2072D56C" w14:textId="77777777" w:rsidR="000C2081" w:rsidRDefault="006F191C">
            <w:pPr>
              <w:numPr>
                <w:ilvl w:val="0"/>
                <w:numId w:val="1"/>
              </w:numPr>
              <w:spacing w:line="259" w:lineRule="auto"/>
              <w:ind w:hanging="495"/>
              <w:rPr>
                <w:rFonts w:ascii="Noto Sans Symbols" w:eastAsia="Noto Sans Symbols" w:hAnsi="Noto Sans Symbols" w:cs="Noto Sans Symbols"/>
              </w:rPr>
            </w:pPr>
            <w:proofErr w:type="spellStart"/>
            <w:r>
              <w:rPr>
                <w:rFonts w:ascii="Twentieth Century" w:eastAsia="Twentieth Century" w:hAnsi="Twentieth Century" w:cs="Twentieth Century"/>
                <w:sz w:val="24"/>
                <w:szCs w:val="24"/>
              </w:rPr>
              <w:t>Analyze</w:t>
            </w:r>
            <w:proofErr w:type="spellEnd"/>
            <w:r>
              <w:rPr>
                <w:rFonts w:ascii="Twentieth Century" w:eastAsia="Twentieth Century" w:hAnsi="Twentieth Century" w:cs="Twentieth Century"/>
                <w:sz w:val="24"/>
                <w:szCs w:val="24"/>
              </w:rPr>
              <w:t xml:space="preserve"> impact of tax policy changes on compliance and revenue tracking in the extractive sector.</w:t>
            </w:r>
          </w:p>
          <w:p w14:paraId="70724A4D" w14:textId="77777777" w:rsidR="000C2081" w:rsidRDefault="006F191C">
            <w:pPr>
              <w:numPr>
                <w:ilvl w:val="0"/>
                <w:numId w:val="1"/>
              </w:numPr>
              <w:spacing w:line="259" w:lineRule="auto"/>
              <w:ind w:hanging="495"/>
              <w:rPr>
                <w:rFonts w:ascii="Noto Sans Symbols" w:eastAsia="Noto Sans Symbols" w:hAnsi="Noto Sans Symbols" w:cs="Noto Sans Symbols"/>
              </w:rPr>
            </w:pPr>
            <w:r>
              <w:rPr>
                <w:rFonts w:ascii="Twentieth Century" w:eastAsia="Twentieth Century" w:hAnsi="Twentieth Century" w:cs="Twentieth Century"/>
                <w:sz w:val="24"/>
                <w:szCs w:val="24"/>
              </w:rPr>
              <w:t>Explore strategies for enhancing tax administration efficiency and enforcement within the extractive industries.</w:t>
            </w:r>
          </w:p>
          <w:p w14:paraId="6B996368" w14:textId="77777777" w:rsidR="000C2081" w:rsidRDefault="000C2081">
            <w:pPr>
              <w:spacing w:after="160" w:line="308" w:lineRule="auto"/>
              <w:ind w:right="3"/>
              <w:jc w:val="both"/>
              <w:rPr>
                <w:rFonts w:ascii="Twentieth Century" w:eastAsia="Twentieth Century" w:hAnsi="Twentieth Century" w:cs="Twentieth Century"/>
              </w:rPr>
            </w:pPr>
          </w:p>
        </w:tc>
      </w:tr>
      <w:tr w:rsidR="000C2081" w14:paraId="749B366D" w14:textId="77777777">
        <w:trPr>
          <w:trHeight w:val="120"/>
        </w:trPr>
        <w:tc>
          <w:tcPr>
            <w:tcW w:w="2078" w:type="dxa"/>
            <w:tcBorders>
              <w:top w:val="single" w:sz="8" w:space="0" w:color="000000"/>
              <w:left w:val="single" w:sz="8" w:space="0" w:color="000000"/>
              <w:bottom w:val="single" w:sz="8" w:space="0" w:color="000000"/>
              <w:right w:val="single" w:sz="8" w:space="0" w:color="000000"/>
            </w:tcBorders>
            <w:vAlign w:val="center"/>
          </w:tcPr>
          <w:p w14:paraId="46920FD1" w14:textId="77777777" w:rsidR="000C2081" w:rsidRDefault="006F191C">
            <w:pPr>
              <w:spacing w:after="160" w:line="259" w:lineRule="auto"/>
              <w:ind w:left="10"/>
              <w:rPr>
                <w:rFonts w:ascii="Twentieth Century" w:eastAsia="Twentieth Century" w:hAnsi="Twentieth Century" w:cs="Twentieth Century"/>
              </w:rPr>
            </w:pPr>
            <w:r>
              <w:rPr>
                <w:rFonts w:ascii="Twentieth Century" w:eastAsia="Twentieth Century" w:hAnsi="Twentieth Century" w:cs="Twentieth Century"/>
                <w:b/>
                <w:bCs/>
                <w:sz w:val="24"/>
                <w:szCs w:val="24"/>
              </w:rPr>
              <w:t>Reporting Date:</w:t>
            </w:r>
          </w:p>
        </w:tc>
        <w:tc>
          <w:tcPr>
            <w:tcW w:w="6947" w:type="dxa"/>
            <w:tcBorders>
              <w:top w:val="single" w:sz="8" w:space="0" w:color="000000"/>
              <w:left w:val="single" w:sz="8" w:space="0" w:color="000000"/>
              <w:bottom w:val="single" w:sz="8" w:space="0" w:color="000000"/>
              <w:right w:val="single" w:sz="8" w:space="0" w:color="000000"/>
            </w:tcBorders>
            <w:vAlign w:val="center"/>
          </w:tcPr>
          <w:p w14:paraId="6C758C7B" w14:textId="77777777" w:rsidR="000C2081" w:rsidRDefault="006F191C">
            <w:pPr>
              <w:spacing w:after="160" w:line="259" w:lineRule="auto"/>
              <w:jc w:val="both"/>
              <w:rPr>
                <w:rFonts w:ascii="Twentieth Century" w:eastAsia="Twentieth Century" w:hAnsi="Twentieth Century" w:cs="Twentieth Century"/>
              </w:rPr>
            </w:pPr>
            <w:r>
              <w:rPr>
                <w:rFonts w:ascii="Twentieth Century" w:eastAsia="Twentieth Century" w:hAnsi="Twentieth Century" w:cs="Twentieth Century"/>
              </w:rPr>
              <w:t xml:space="preserve">   March 10, 2025.</w:t>
            </w:r>
          </w:p>
        </w:tc>
      </w:tr>
      <w:tr w:rsidR="000C2081" w14:paraId="06CC4493" w14:textId="77777777">
        <w:trPr>
          <w:trHeight w:val="520"/>
        </w:trPr>
        <w:tc>
          <w:tcPr>
            <w:tcW w:w="2078" w:type="dxa"/>
            <w:tcBorders>
              <w:top w:val="single" w:sz="8" w:space="0" w:color="000000"/>
              <w:left w:val="single" w:sz="8" w:space="0" w:color="000000"/>
              <w:bottom w:val="single" w:sz="8" w:space="0" w:color="000000"/>
              <w:right w:val="single" w:sz="8" w:space="0" w:color="000000"/>
            </w:tcBorders>
            <w:vAlign w:val="center"/>
          </w:tcPr>
          <w:p w14:paraId="0183FB99"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3F57C3C5"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24FE3655"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4777310C"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42A16EDA"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462684B3"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4EBDA942"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5D1327D6"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42EC14EF"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75EBE6A5"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75FC2F44"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66AE301F"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43790F2C"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1647D2C5"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5C6D837E"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705A4DE4"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536B0ADB"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4C8C441B"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3C1DA3C3"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58205584"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6B7D9572"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4BDB3737"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33E21C1D"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045D43EE"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0903A834"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6C5882D8"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1AA07BE7"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19BE01E5"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295B71C7"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3428B2FD"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186769A2"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524C1789"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4C2FB8A3"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5DCB2532"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555EE327"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343D2FE7"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2A637781"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44EC4763"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377B6B4B"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14CFFD48"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0A346F41"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189CB7A7" w14:textId="77777777" w:rsidR="000C2081" w:rsidRDefault="000C2081">
            <w:pPr>
              <w:spacing w:after="160" w:line="259" w:lineRule="auto"/>
              <w:ind w:left="10"/>
              <w:rPr>
                <w:rFonts w:ascii="Twentieth Century" w:eastAsia="Twentieth Century" w:hAnsi="Twentieth Century" w:cs="Twentieth Century"/>
                <w:b/>
                <w:bCs/>
                <w:sz w:val="24"/>
                <w:szCs w:val="24"/>
              </w:rPr>
            </w:pPr>
          </w:p>
          <w:p w14:paraId="4F3E4D7F" w14:textId="77777777" w:rsidR="000C2081" w:rsidRDefault="000C2081">
            <w:pPr>
              <w:spacing w:after="160" w:line="259" w:lineRule="auto"/>
              <w:rPr>
                <w:rFonts w:ascii="Twentieth Century" w:eastAsia="Twentieth Century" w:hAnsi="Twentieth Century" w:cs="Twentieth Century"/>
                <w:b/>
                <w:bCs/>
                <w:sz w:val="24"/>
                <w:szCs w:val="24"/>
              </w:rPr>
            </w:pPr>
          </w:p>
          <w:p w14:paraId="242FD416" w14:textId="77777777" w:rsidR="000C2081" w:rsidRDefault="000C2081">
            <w:pPr>
              <w:spacing w:after="160" w:line="259" w:lineRule="auto"/>
              <w:rPr>
                <w:rFonts w:ascii="Twentieth Century" w:eastAsia="Twentieth Century" w:hAnsi="Twentieth Century" w:cs="Twentieth Century"/>
                <w:b/>
                <w:bCs/>
                <w:sz w:val="24"/>
                <w:szCs w:val="24"/>
              </w:rPr>
            </w:pPr>
          </w:p>
          <w:p w14:paraId="59E80664" w14:textId="77777777" w:rsidR="000C2081" w:rsidRDefault="000C2081">
            <w:pPr>
              <w:spacing w:after="160" w:line="259" w:lineRule="auto"/>
              <w:rPr>
                <w:rFonts w:ascii="Twentieth Century" w:eastAsia="Twentieth Century" w:hAnsi="Twentieth Century" w:cs="Twentieth Century"/>
                <w:b/>
                <w:bCs/>
                <w:sz w:val="24"/>
                <w:szCs w:val="24"/>
              </w:rPr>
            </w:pPr>
          </w:p>
          <w:p w14:paraId="3549FF39" w14:textId="77777777" w:rsidR="000C2081" w:rsidRDefault="000C2081">
            <w:pPr>
              <w:spacing w:after="160" w:line="259" w:lineRule="auto"/>
              <w:rPr>
                <w:rFonts w:ascii="Twentieth Century" w:eastAsia="Twentieth Century" w:hAnsi="Twentieth Century" w:cs="Twentieth Century"/>
                <w:b/>
                <w:bCs/>
                <w:sz w:val="24"/>
                <w:szCs w:val="24"/>
              </w:rPr>
            </w:pPr>
          </w:p>
          <w:p w14:paraId="72D0FFD3" w14:textId="77777777" w:rsidR="000C2081" w:rsidRDefault="000C2081">
            <w:pPr>
              <w:spacing w:after="160" w:line="259" w:lineRule="auto"/>
              <w:rPr>
                <w:rFonts w:ascii="Twentieth Century" w:eastAsia="Twentieth Century" w:hAnsi="Twentieth Century" w:cs="Twentieth Century"/>
                <w:b/>
                <w:bCs/>
                <w:sz w:val="24"/>
                <w:szCs w:val="24"/>
              </w:rPr>
            </w:pPr>
          </w:p>
          <w:p w14:paraId="56F344DA" w14:textId="77777777" w:rsidR="000C2081" w:rsidRDefault="000C2081">
            <w:pPr>
              <w:spacing w:after="160" w:line="259" w:lineRule="auto"/>
              <w:rPr>
                <w:rFonts w:ascii="Twentieth Century" w:eastAsia="Twentieth Century" w:hAnsi="Twentieth Century" w:cs="Twentieth Century"/>
                <w:b/>
                <w:bCs/>
                <w:sz w:val="24"/>
                <w:szCs w:val="24"/>
              </w:rPr>
            </w:pPr>
          </w:p>
          <w:p w14:paraId="4DA53B22" w14:textId="77777777" w:rsidR="000C2081" w:rsidRDefault="000C2081">
            <w:pPr>
              <w:spacing w:after="160" w:line="259" w:lineRule="auto"/>
              <w:rPr>
                <w:rFonts w:ascii="Twentieth Century" w:eastAsia="Twentieth Century" w:hAnsi="Twentieth Century" w:cs="Twentieth Century"/>
                <w:b/>
                <w:bCs/>
                <w:sz w:val="24"/>
                <w:szCs w:val="24"/>
              </w:rPr>
            </w:pPr>
          </w:p>
          <w:p w14:paraId="56DA5C52" w14:textId="77777777" w:rsidR="000C2081" w:rsidRDefault="000C2081">
            <w:pPr>
              <w:spacing w:after="160" w:line="259" w:lineRule="auto"/>
              <w:rPr>
                <w:rFonts w:ascii="Twentieth Century" w:eastAsia="Twentieth Century" w:hAnsi="Twentieth Century" w:cs="Twentieth Century"/>
                <w:b/>
                <w:bCs/>
                <w:sz w:val="24"/>
                <w:szCs w:val="24"/>
              </w:rPr>
            </w:pPr>
          </w:p>
          <w:p w14:paraId="12148EE2" w14:textId="77777777" w:rsidR="000C2081" w:rsidRDefault="000C2081">
            <w:pPr>
              <w:spacing w:after="160" w:line="259" w:lineRule="auto"/>
              <w:rPr>
                <w:rFonts w:ascii="Twentieth Century" w:eastAsia="Twentieth Century" w:hAnsi="Twentieth Century" w:cs="Twentieth Century"/>
                <w:b/>
                <w:bCs/>
                <w:sz w:val="24"/>
                <w:szCs w:val="24"/>
              </w:rPr>
            </w:pPr>
          </w:p>
          <w:p w14:paraId="39BA2674" w14:textId="77777777" w:rsidR="000C2081" w:rsidRDefault="000C2081">
            <w:pPr>
              <w:spacing w:after="160" w:line="259" w:lineRule="auto"/>
              <w:rPr>
                <w:rFonts w:ascii="Twentieth Century" w:eastAsia="Twentieth Century" w:hAnsi="Twentieth Century" w:cs="Twentieth Century"/>
                <w:b/>
                <w:bCs/>
                <w:sz w:val="24"/>
                <w:szCs w:val="24"/>
              </w:rPr>
            </w:pPr>
          </w:p>
          <w:p w14:paraId="35620C61" w14:textId="77777777" w:rsidR="000C2081" w:rsidRDefault="000C2081">
            <w:pPr>
              <w:spacing w:after="160" w:line="259" w:lineRule="auto"/>
              <w:rPr>
                <w:rFonts w:ascii="Twentieth Century" w:eastAsia="Twentieth Century" w:hAnsi="Twentieth Century" w:cs="Twentieth Century"/>
                <w:b/>
                <w:bCs/>
                <w:sz w:val="24"/>
                <w:szCs w:val="24"/>
              </w:rPr>
            </w:pPr>
          </w:p>
          <w:p w14:paraId="0D81AFB8" w14:textId="77777777" w:rsidR="000C2081" w:rsidRDefault="000C2081">
            <w:pPr>
              <w:spacing w:after="160" w:line="259" w:lineRule="auto"/>
              <w:rPr>
                <w:rFonts w:ascii="Twentieth Century" w:eastAsia="Twentieth Century" w:hAnsi="Twentieth Century" w:cs="Twentieth Century"/>
                <w:b/>
                <w:bCs/>
                <w:sz w:val="24"/>
                <w:szCs w:val="24"/>
              </w:rPr>
            </w:pPr>
          </w:p>
          <w:p w14:paraId="433EEE73" w14:textId="77777777" w:rsidR="000C2081" w:rsidRDefault="000C2081">
            <w:pPr>
              <w:spacing w:after="160" w:line="259" w:lineRule="auto"/>
              <w:rPr>
                <w:rFonts w:ascii="Twentieth Century" w:eastAsia="Twentieth Century" w:hAnsi="Twentieth Century" w:cs="Twentieth Century"/>
                <w:b/>
                <w:bCs/>
                <w:sz w:val="24"/>
                <w:szCs w:val="24"/>
              </w:rPr>
            </w:pPr>
          </w:p>
          <w:p w14:paraId="604E8BFD" w14:textId="77777777" w:rsidR="000C2081" w:rsidRDefault="000C2081">
            <w:pPr>
              <w:spacing w:after="160" w:line="259" w:lineRule="auto"/>
              <w:rPr>
                <w:rFonts w:ascii="Twentieth Century" w:eastAsia="Twentieth Century" w:hAnsi="Twentieth Century" w:cs="Twentieth Century"/>
                <w:b/>
                <w:bCs/>
                <w:sz w:val="24"/>
                <w:szCs w:val="24"/>
              </w:rPr>
            </w:pPr>
          </w:p>
          <w:p w14:paraId="405D5D6D" w14:textId="77777777" w:rsidR="000C2081" w:rsidRDefault="000C2081">
            <w:pPr>
              <w:spacing w:after="160" w:line="259" w:lineRule="auto"/>
              <w:rPr>
                <w:rFonts w:ascii="Twentieth Century" w:eastAsia="Twentieth Century" w:hAnsi="Twentieth Century" w:cs="Twentieth Century"/>
                <w:b/>
                <w:bCs/>
                <w:sz w:val="24"/>
                <w:szCs w:val="24"/>
              </w:rPr>
            </w:pPr>
          </w:p>
          <w:p w14:paraId="58D5E361" w14:textId="77777777" w:rsidR="000C2081" w:rsidRDefault="000C2081">
            <w:pPr>
              <w:spacing w:after="160" w:line="259" w:lineRule="auto"/>
              <w:rPr>
                <w:rFonts w:ascii="Twentieth Century" w:eastAsia="Twentieth Century" w:hAnsi="Twentieth Century" w:cs="Twentieth Century"/>
                <w:b/>
                <w:bCs/>
                <w:sz w:val="24"/>
                <w:szCs w:val="24"/>
              </w:rPr>
            </w:pPr>
          </w:p>
          <w:p w14:paraId="2080F6B4" w14:textId="77777777" w:rsidR="000C2081" w:rsidRDefault="000C2081">
            <w:pPr>
              <w:spacing w:after="160" w:line="259" w:lineRule="auto"/>
              <w:rPr>
                <w:rFonts w:ascii="Twentieth Century" w:eastAsia="Twentieth Century" w:hAnsi="Twentieth Century" w:cs="Twentieth Century"/>
                <w:b/>
                <w:bCs/>
                <w:sz w:val="24"/>
                <w:szCs w:val="24"/>
              </w:rPr>
            </w:pPr>
          </w:p>
          <w:p w14:paraId="0E85118A" w14:textId="77777777" w:rsidR="000C2081" w:rsidRDefault="000C2081">
            <w:pPr>
              <w:spacing w:after="160" w:line="259" w:lineRule="auto"/>
              <w:rPr>
                <w:rFonts w:ascii="Twentieth Century" w:eastAsia="Twentieth Century" w:hAnsi="Twentieth Century" w:cs="Twentieth Century"/>
                <w:b/>
                <w:bCs/>
                <w:sz w:val="24"/>
                <w:szCs w:val="24"/>
              </w:rPr>
            </w:pPr>
          </w:p>
          <w:p w14:paraId="21FE8CD0" w14:textId="77777777" w:rsidR="000C2081" w:rsidRDefault="000C2081">
            <w:pPr>
              <w:spacing w:after="160" w:line="259" w:lineRule="auto"/>
              <w:rPr>
                <w:rFonts w:ascii="Twentieth Century" w:eastAsia="Twentieth Century" w:hAnsi="Twentieth Century" w:cs="Twentieth Century"/>
                <w:b/>
                <w:bCs/>
                <w:sz w:val="24"/>
                <w:szCs w:val="24"/>
              </w:rPr>
            </w:pPr>
          </w:p>
          <w:p w14:paraId="3D6CCB73" w14:textId="77777777" w:rsidR="000C2081" w:rsidRDefault="000C2081">
            <w:pPr>
              <w:spacing w:after="160" w:line="259" w:lineRule="auto"/>
              <w:rPr>
                <w:rFonts w:ascii="Twentieth Century" w:eastAsia="Twentieth Century" w:hAnsi="Twentieth Century" w:cs="Twentieth Century"/>
                <w:b/>
                <w:bCs/>
                <w:sz w:val="24"/>
                <w:szCs w:val="24"/>
              </w:rPr>
            </w:pPr>
          </w:p>
          <w:p w14:paraId="11C5C3FC" w14:textId="77777777" w:rsidR="000C2081" w:rsidRDefault="000C2081">
            <w:pPr>
              <w:spacing w:after="160" w:line="259" w:lineRule="auto"/>
              <w:rPr>
                <w:rFonts w:ascii="Twentieth Century" w:eastAsia="Twentieth Century" w:hAnsi="Twentieth Century" w:cs="Twentieth Century"/>
                <w:b/>
                <w:bCs/>
                <w:sz w:val="24"/>
                <w:szCs w:val="24"/>
              </w:rPr>
            </w:pPr>
          </w:p>
          <w:p w14:paraId="6AFC5FC7" w14:textId="77777777" w:rsidR="000C2081" w:rsidRDefault="000C2081">
            <w:pPr>
              <w:spacing w:after="160" w:line="259" w:lineRule="auto"/>
              <w:rPr>
                <w:rFonts w:ascii="Twentieth Century" w:eastAsia="Twentieth Century" w:hAnsi="Twentieth Century" w:cs="Twentieth Century"/>
                <w:b/>
                <w:bCs/>
                <w:sz w:val="24"/>
                <w:szCs w:val="24"/>
              </w:rPr>
            </w:pPr>
          </w:p>
          <w:p w14:paraId="6EF34F33" w14:textId="77777777" w:rsidR="000C2081" w:rsidRDefault="000C2081">
            <w:pPr>
              <w:spacing w:after="160" w:line="259" w:lineRule="auto"/>
              <w:rPr>
                <w:rFonts w:ascii="Twentieth Century" w:eastAsia="Twentieth Century" w:hAnsi="Twentieth Century" w:cs="Twentieth Century"/>
                <w:b/>
                <w:bCs/>
                <w:sz w:val="24"/>
                <w:szCs w:val="24"/>
              </w:rPr>
            </w:pPr>
          </w:p>
          <w:p w14:paraId="073245C0" w14:textId="77777777" w:rsidR="000C2081" w:rsidRDefault="000C2081">
            <w:pPr>
              <w:spacing w:after="160" w:line="259" w:lineRule="auto"/>
              <w:rPr>
                <w:rFonts w:ascii="Twentieth Century" w:eastAsia="Twentieth Century" w:hAnsi="Twentieth Century" w:cs="Twentieth Century"/>
                <w:b/>
                <w:bCs/>
                <w:sz w:val="24"/>
                <w:szCs w:val="24"/>
              </w:rPr>
            </w:pPr>
          </w:p>
          <w:p w14:paraId="2EAA91B8" w14:textId="77777777" w:rsidR="000C2081" w:rsidRDefault="000C2081">
            <w:pPr>
              <w:spacing w:after="160" w:line="259" w:lineRule="auto"/>
              <w:rPr>
                <w:rFonts w:ascii="Twentieth Century" w:eastAsia="Twentieth Century" w:hAnsi="Twentieth Century" w:cs="Twentieth Century"/>
                <w:b/>
                <w:bCs/>
                <w:sz w:val="24"/>
                <w:szCs w:val="24"/>
              </w:rPr>
            </w:pPr>
          </w:p>
          <w:p w14:paraId="60A517CF" w14:textId="77777777" w:rsidR="000C2081" w:rsidRDefault="000C2081">
            <w:pPr>
              <w:spacing w:after="160" w:line="259" w:lineRule="auto"/>
              <w:rPr>
                <w:rFonts w:ascii="Twentieth Century" w:eastAsia="Twentieth Century" w:hAnsi="Twentieth Century" w:cs="Twentieth Century"/>
                <w:b/>
                <w:bCs/>
                <w:sz w:val="24"/>
                <w:szCs w:val="24"/>
              </w:rPr>
            </w:pPr>
          </w:p>
          <w:p w14:paraId="388F437B" w14:textId="77777777" w:rsidR="000C2081" w:rsidRDefault="000C2081">
            <w:pPr>
              <w:spacing w:after="160" w:line="259" w:lineRule="auto"/>
              <w:rPr>
                <w:rFonts w:ascii="Twentieth Century" w:eastAsia="Twentieth Century" w:hAnsi="Twentieth Century" w:cs="Twentieth Century"/>
                <w:b/>
                <w:bCs/>
                <w:sz w:val="24"/>
                <w:szCs w:val="24"/>
              </w:rPr>
            </w:pPr>
          </w:p>
          <w:p w14:paraId="6B1C9302" w14:textId="77777777" w:rsidR="000C2081" w:rsidRDefault="000C2081">
            <w:pPr>
              <w:spacing w:after="160" w:line="259" w:lineRule="auto"/>
              <w:rPr>
                <w:rFonts w:ascii="Twentieth Century" w:eastAsia="Twentieth Century" w:hAnsi="Twentieth Century" w:cs="Twentieth Century"/>
                <w:b/>
                <w:bCs/>
                <w:sz w:val="24"/>
                <w:szCs w:val="24"/>
              </w:rPr>
            </w:pPr>
          </w:p>
          <w:p w14:paraId="42409EF3" w14:textId="77777777" w:rsidR="000C2081" w:rsidRDefault="000C2081">
            <w:pPr>
              <w:spacing w:after="160" w:line="259" w:lineRule="auto"/>
              <w:rPr>
                <w:rFonts w:ascii="Twentieth Century" w:eastAsia="Twentieth Century" w:hAnsi="Twentieth Century" w:cs="Twentieth Century"/>
                <w:b/>
                <w:bCs/>
                <w:sz w:val="24"/>
                <w:szCs w:val="24"/>
              </w:rPr>
            </w:pPr>
          </w:p>
          <w:p w14:paraId="441EA76B" w14:textId="77777777" w:rsidR="000C2081" w:rsidRDefault="000C2081">
            <w:pPr>
              <w:spacing w:after="160" w:line="259" w:lineRule="auto"/>
              <w:rPr>
                <w:rFonts w:ascii="Twentieth Century" w:eastAsia="Twentieth Century" w:hAnsi="Twentieth Century" w:cs="Twentieth Century"/>
                <w:b/>
                <w:bCs/>
                <w:sz w:val="24"/>
                <w:szCs w:val="24"/>
              </w:rPr>
            </w:pPr>
          </w:p>
          <w:p w14:paraId="67099739" w14:textId="77777777" w:rsidR="000C2081" w:rsidRDefault="000C2081">
            <w:pPr>
              <w:spacing w:after="160" w:line="259" w:lineRule="auto"/>
              <w:rPr>
                <w:rFonts w:ascii="Twentieth Century" w:eastAsia="Twentieth Century" w:hAnsi="Twentieth Century" w:cs="Twentieth Century"/>
                <w:b/>
                <w:bCs/>
                <w:sz w:val="24"/>
                <w:szCs w:val="24"/>
              </w:rPr>
            </w:pPr>
          </w:p>
          <w:p w14:paraId="75FB605D" w14:textId="77777777" w:rsidR="000C2081" w:rsidRDefault="000C2081">
            <w:pPr>
              <w:spacing w:after="160" w:line="259" w:lineRule="auto"/>
              <w:rPr>
                <w:rFonts w:ascii="Twentieth Century" w:eastAsia="Twentieth Century" w:hAnsi="Twentieth Century" w:cs="Twentieth Century"/>
                <w:b/>
                <w:bCs/>
                <w:sz w:val="24"/>
                <w:szCs w:val="24"/>
              </w:rPr>
            </w:pPr>
          </w:p>
          <w:p w14:paraId="47ACB6E3" w14:textId="77777777" w:rsidR="000C2081" w:rsidRDefault="000C2081">
            <w:pPr>
              <w:spacing w:after="160" w:line="259" w:lineRule="auto"/>
              <w:rPr>
                <w:rFonts w:ascii="Twentieth Century" w:eastAsia="Twentieth Century" w:hAnsi="Twentieth Century" w:cs="Twentieth Century"/>
                <w:b/>
                <w:bCs/>
                <w:sz w:val="24"/>
                <w:szCs w:val="24"/>
              </w:rPr>
            </w:pPr>
          </w:p>
          <w:p w14:paraId="47F0F9E8" w14:textId="77777777" w:rsidR="000C2081" w:rsidRDefault="000C2081">
            <w:pPr>
              <w:spacing w:after="160" w:line="259" w:lineRule="auto"/>
              <w:rPr>
                <w:rFonts w:ascii="Twentieth Century" w:eastAsia="Twentieth Century" w:hAnsi="Twentieth Century" w:cs="Twentieth Century"/>
                <w:b/>
                <w:bCs/>
                <w:sz w:val="24"/>
                <w:szCs w:val="24"/>
              </w:rPr>
            </w:pPr>
          </w:p>
          <w:p w14:paraId="02B01226" w14:textId="77777777" w:rsidR="000C2081" w:rsidRDefault="000C2081">
            <w:pPr>
              <w:spacing w:after="160" w:line="259" w:lineRule="auto"/>
              <w:rPr>
                <w:rFonts w:ascii="Twentieth Century" w:eastAsia="Twentieth Century" w:hAnsi="Twentieth Century" w:cs="Twentieth Century"/>
                <w:b/>
                <w:bCs/>
                <w:sz w:val="24"/>
                <w:szCs w:val="24"/>
              </w:rPr>
            </w:pPr>
          </w:p>
          <w:p w14:paraId="37B4FF9E" w14:textId="77777777" w:rsidR="000C2081" w:rsidRDefault="000C2081">
            <w:pPr>
              <w:spacing w:after="160" w:line="259" w:lineRule="auto"/>
              <w:rPr>
                <w:rFonts w:ascii="Twentieth Century" w:eastAsia="Twentieth Century" w:hAnsi="Twentieth Century" w:cs="Twentieth Century"/>
                <w:b/>
                <w:bCs/>
                <w:sz w:val="24"/>
                <w:szCs w:val="24"/>
              </w:rPr>
            </w:pPr>
          </w:p>
          <w:p w14:paraId="35BF12A3" w14:textId="77777777" w:rsidR="000C2081" w:rsidRDefault="000C2081">
            <w:pPr>
              <w:spacing w:after="160" w:line="259" w:lineRule="auto"/>
              <w:rPr>
                <w:rFonts w:ascii="Twentieth Century" w:eastAsia="Twentieth Century" w:hAnsi="Twentieth Century" w:cs="Twentieth Century"/>
                <w:b/>
                <w:bCs/>
                <w:sz w:val="24"/>
                <w:szCs w:val="24"/>
              </w:rPr>
            </w:pPr>
          </w:p>
          <w:p w14:paraId="7E3AD792" w14:textId="77777777" w:rsidR="000C2081" w:rsidRDefault="000C2081">
            <w:pPr>
              <w:spacing w:after="160" w:line="259" w:lineRule="auto"/>
              <w:rPr>
                <w:rFonts w:ascii="Twentieth Century" w:eastAsia="Twentieth Century" w:hAnsi="Twentieth Century" w:cs="Twentieth Century"/>
                <w:b/>
                <w:bCs/>
                <w:sz w:val="24"/>
                <w:szCs w:val="24"/>
              </w:rPr>
            </w:pPr>
          </w:p>
          <w:p w14:paraId="326CEC82" w14:textId="77777777" w:rsidR="000C2081" w:rsidRDefault="000C2081">
            <w:pPr>
              <w:spacing w:after="160" w:line="259" w:lineRule="auto"/>
              <w:rPr>
                <w:rFonts w:ascii="Twentieth Century" w:eastAsia="Twentieth Century" w:hAnsi="Twentieth Century" w:cs="Twentieth Century"/>
                <w:b/>
                <w:bCs/>
                <w:sz w:val="24"/>
                <w:szCs w:val="24"/>
              </w:rPr>
            </w:pPr>
          </w:p>
          <w:p w14:paraId="17BA036E" w14:textId="77777777" w:rsidR="000C2081" w:rsidRDefault="000C2081">
            <w:pPr>
              <w:spacing w:after="160" w:line="259" w:lineRule="auto"/>
              <w:rPr>
                <w:rFonts w:ascii="Twentieth Century" w:eastAsia="Twentieth Century" w:hAnsi="Twentieth Century" w:cs="Twentieth Century"/>
                <w:b/>
                <w:bCs/>
                <w:sz w:val="24"/>
                <w:szCs w:val="24"/>
              </w:rPr>
            </w:pPr>
          </w:p>
          <w:p w14:paraId="56226262" w14:textId="77777777" w:rsidR="000C2081" w:rsidRDefault="000C2081">
            <w:pPr>
              <w:spacing w:after="160" w:line="259" w:lineRule="auto"/>
              <w:rPr>
                <w:rFonts w:ascii="Twentieth Century" w:eastAsia="Twentieth Century" w:hAnsi="Twentieth Century" w:cs="Twentieth Century"/>
                <w:b/>
                <w:bCs/>
                <w:sz w:val="24"/>
                <w:szCs w:val="24"/>
              </w:rPr>
            </w:pPr>
          </w:p>
          <w:p w14:paraId="00253820" w14:textId="77777777" w:rsidR="000C2081" w:rsidRDefault="000C2081">
            <w:pPr>
              <w:spacing w:after="160" w:line="259" w:lineRule="auto"/>
              <w:rPr>
                <w:rFonts w:ascii="Twentieth Century" w:eastAsia="Twentieth Century" w:hAnsi="Twentieth Century" w:cs="Twentieth Century"/>
                <w:b/>
                <w:bCs/>
                <w:sz w:val="24"/>
                <w:szCs w:val="24"/>
              </w:rPr>
            </w:pPr>
          </w:p>
          <w:p w14:paraId="2EE6D408" w14:textId="77777777" w:rsidR="000C2081" w:rsidRDefault="000C2081">
            <w:pPr>
              <w:spacing w:after="160" w:line="259" w:lineRule="auto"/>
              <w:rPr>
                <w:rFonts w:ascii="Twentieth Century" w:eastAsia="Twentieth Century" w:hAnsi="Twentieth Century" w:cs="Twentieth Century"/>
                <w:b/>
                <w:bCs/>
                <w:sz w:val="24"/>
                <w:szCs w:val="24"/>
              </w:rPr>
            </w:pPr>
          </w:p>
          <w:p w14:paraId="6860F76B" w14:textId="77777777" w:rsidR="000C2081" w:rsidRDefault="000C2081">
            <w:pPr>
              <w:spacing w:after="160" w:line="259" w:lineRule="auto"/>
              <w:rPr>
                <w:rFonts w:ascii="Twentieth Century" w:eastAsia="Twentieth Century" w:hAnsi="Twentieth Century" w:cs="Twentieth Century"/>
                <w:b/>
                <w:bCs/>
                <w:sz w:val="24"/>
                <w:szCs w:val="24"/>
              </w:rPr>
            </w:pPr>
          </w:p>
          <w:p w14:paraId="6B00BB28" w14:textId="77777777" w:rsidR="000C2081" w:rsidRDefault="000C2081">
            <w:pPr>
              <w:spacing w:after="160" w:line="259" w:lineRule="auto"/>
              <w:rPr>
                <w:rFonts w:ascii="Twentieth Century" w:eastAsia="Twentieth Century" w:hAnsi="Twentieth Century" w:cs="Twentieth Century"/>
                <w:b/>
                <w:bCs/>
                <w:sz w:val="24"/>
                <w:szCs w:val="24"/>
              </w:rPr>
            </w:pPr>
          </w:p>
          <w:p w14:paraId="1618CDF8" w14:textId="77777777" w:rsidR="000C2081" w:rsidRDefault="000C2081">
            <w:pPr>
              <w:spacing w:after="160" w:line="259" w:lineRule="auto"/>
              <w:rPr>
                <w:rFonts w:ascii="Twentieth Century" w:eastAsia="Twentieth Century" w:hAnsi="Twentieth Century" w:cs="Twentieth Century"/>
                <w:b/>
                <w:bCs/>
                <w:sz w:val="24"/>
                <w:szCs w:val="24"/>
              </w:rPr>
            </w:pPr>
          </w:p>
          <w:p w14:paraId="50A24DE1" w14:textId="77777777" w:rsidR="000C2081" w:rsidRDefault="000C2081">
            <w:pPr>
              <w:spacing w:after="160" w:line="259" w:lineRule="auto"/>
              <w:rPr>
                <w:rFonts w:ascii="Twentieth Century" w:eastAsia="Twentieth Century" w:hAnsi="Twentieth Century" w:cs="Twentieth Century"/>
                <w:b/>
                <w:bCs/>
                <w:sz w:val="24"/>
                <w:szCs w:val="24"/>
              </w:rPr>
            </w:pPr>
          </w:p>
          <w:p w14:paraId="7D927FB6" w14:textId="77777777" w:rsidR="000C2081" w:rsidRDefault="000C2081">
            <w:pPr>
              <w:spacing w:after="160" w:line="259" w:lineRule="auto"/>
              <w:rPr>
                <w:rFonts w:ascii="Twentieth Century" w:eastAsia="Twentieth Century" w:hAnsi="Twentieth Century" w:cs="Twentieth Century"/>
                <w:b/>
                <w:bCs/>
                <w:sz w:val="24"/>
                <w:szCs w:val="24"/>
              </w:rPr>
            </w:pPr>
          </w:p>
          <w:p w14:paraId="783A5430" w14:textId="77777777" w:rsidR="000C2081" w:rsidRDefault="000C2081">
            <w:pPr>
              <w:spacing w:after="160" w:line="259" w:lineRule="auto"/>
              <w:rPr>
                <w:rFonts w:ascii="Twentieth Century" w:eastAsia="Twentieth Century" w:hAnsi="Twentieth Century" w:cs="Twentieth Century"/>
                <w:b/>
                <w:bCs/>
                <w:sz w:val="24"/>
                <w:szCs w:val="24"/>
              </w:rPr>
            </w:pPr>
          </w:p>
          <w:p w14:paraId="70BCA501" w14:textId="77777777" w:rsidR="000C2081" w:rsidRDefault="000C2081">
            <w:pPr>
              <w:spacing w:after="160" w:line="259" w:lineRule="auto"/>
              <w:rPr>
                <w:rFonts w:ascii="Twentieth Century" w:eastAsia="Twentieth Century" w:hAnsi="Twentieth Century" w:cs="Twentieth Century"/>
                <w:b/>
                <w:bCs/>
                <w:sz w:val="24"/>
                <w:szCs w:val="24"/>
              </w:rPr>
            </w:pPr>
          </w:p>
          <w:p w14:paraId="1013030A" w14:textId="77777777" w:rsidR="000C2081" w:rsidRDefault="000C2081">
            <w:pPr>
              <w:spacing w:after="160" w:line="259" w:lineRule="auto"/>
              <w:rPr>
                <w:rFonts w:ascii="Twentieth Century" w:eastAsia="Twentieth Century" w:hAnsi="Twentieth Century" w:cs="Twentieth Century"/>
                <w:b/>
                <w:bCs/>
                <w:sz w:val="24"/>
                <w:szCs w:val="24"/>
              </w:rPr>
            </w:pPr>
          </w:p>
          <w:p w14:paraId="44684ADC" w14:textId="77777777" w:rsidR="000C2081" w:rsidRDefault="000C2081">
            <w:pPr>
              <w:spacing w:after="160" w:line="259" w:lineRule="auto"/>
              <w:rPr>
                <w:rFonts w:ascii="Twentieth Century" w:eastAsia="Twentieth Century" w:hAnsi="Twentieth Century" w:cs="Twentieth Century"/>
                <w:b/>
                <w:bCs/>
                <w:sz w:val="24"/>
                <w:szCs w:val="24"/>
              </w:rPr>
            </w:pPr>
          </w:p>
          <w:p w14:paraId="700CA48C" w14:textId="77777777" w:rsidR="000C2081" w:rsidRDefault="000C2081">
            <w:pPr>
              <w:spacing w:after="160" w:line="259" w:lineRule="auto"/>
              <w:rPr>
                <w:rFonts w:ascii="Twentieth Century" w:eastAsia="Twentieth Century" w:hAnsi="Twentieth Century" w:cs="Twentieth Century"/>
                <w:b/>
                <w:bCs/>
                <w:sz w:val="24"/>
                <w:szCs w:val="24"/>
              </w:rPr>
            </w:pPr>
          </w:p>
          <w:p w14:paraId="30118BC4" w14:textId="77777777" w:rsidR="000C2081" w:rsidRDefault="000C2081">
            <w:pPr>
              <w:spacing w:after="160" w:line="259" w:lineRule="auto"/>
              <w:rPr>
                <w:rFonts w:ascii="Twentieth Century" w:eastAsia="Twentieth Century" w:hAnsi="Twentieth Century" w:cs="Twentieth Century"/>
                <w:b/>
                <w:bCs/>
                <w:sz w:val="24"/>
                <w:szCs w:val="24"/>
              </w:rPr>
            </w:pPr>
          </w:p>
          <w:p w14:paraId="2C2BB040" w14:textId="77777777" w:rsidR="000C2081" w:rsidRDefault="000C2081">
            <w:pPr>
              <w:spacing w:after="160" w:line="259" w:lineRule="auto"/>
              <w:rPr>
                <w:rFonts w:ascii="Twentieth Century" w:eastAsia="Twentieth Century" w:hAnsi="Twentieth Century" w:cs="Twentieth Century"/>
                <w:b/>
                <w:bCs/>
                <w:sz w:val="24"/>
                <w:szCs w:val="24"/>
              </w:rPr>
            </w:pPr>
          </w:p>
          <w:p w14:paraId="23155D1F" w14:textId="77777777" w:rsidR="000C2081" w:rsidRDefault="000C2081">
            <w:pPr>
              <w:spacing w:after="160" w:line="259" w:lineRule="auto"/>
              <w:rPr>
                <w:rFonts w:ascii="Twentieth Century" w:eastAsia="Twentieth Century" w:hAnsi="Twentieth Century" w:cs="Twentieth Century"/>
                <w:b/>
                <w:bCs/>
                <w:sz w:val="24"/>
                <w:szCs w:val="24"/>
              </w:rPr>
            </w:pPr>
          </w:p>
          <w:p w14:paraId="05A227E3" w14:textId="77777777" w:rsidR="000C2081" w:rsidRDefault="000C2081">
            <w:pPr>
              <w:spacing w:after="160" w:line="259" w:lineRule="auto"/>
              <w:rPr>
                <w:rFonts w:ascii="Twentieth Century" w:eastAsia="Twentieth Century" w:hAnsi="Twentieth Century" w:cs="Twentieth Century"/>
                <w:b/>
                <w:bCs/>
                <w:sz w:val="24"/>
                <w:szCs w:val="24"/>
              </w:rPr>
            </w:pPr>
          </w:p>
          <w:p w14:paraId="38E0D6BA" w14:textId="77777777" w:rsidR="000C2081" w:rsidRDefault="000C2081">
            <w:pPr>
              <w:spacing w:after="160" w:line="259" w:lineRule="auto"/>
              <w:rPr>
                <w:rFonts w:ascii="Twentieth Century" w:eastAsia="Twentieth Century" w:hAnsi="Twentieth Century" w:cs="Twentieth Century"/>
                <w:b/>
                <w:bCs/>
                <w:sz w:val="24"/>
                <w:szCs w:val="24"/>
              </w:rPr>
            </w:pPr>
          </w:p>
          <w:p w14:paraId="249A7E4E" w14:textId="77777777" w:rsidR="000C2081" w:rsidRDefault="006F191C">
            <w:pPr>
              <w:spacing w:after="160" w:line="259" w:lineRule="auto"/>
              <w:rPr>
                <w:rFonts w:ascii="Twentieth Century" w:eastAsia="Twentieth Century" w:hAnsi="Twentieth Century" w:cs="Twentieth Century"/>
                <w:b/>
                <w:bCs/>
                <w:sz w:val="24"/>
                <w:szCs w:val="24"/>
              </w:rPr>
            </w:pPr>
            <w:r>
              <w:rPr>
                <w:rFonts w:ascii="Twentieth Century" w:eastAsia="Twentieth Century" w:hAnsi="Twentieth Century" w:cs="Twentieth Century"/>
                <w:b/>
                <w:bCs/>
                <w:sz w:val="24"/>
                <w:szCs w:val="24"/>
              </w:rPr>
              <w:t xml:space="preserve">Link to Meeting Recording </w:t>
            </w:r>
          </w:p>
          <w:p w14:paraId="55EC3CEB" w14:textId="77777777" w:rsidR="000C2081" w:rsidRDefault="000C2081">
            <w:pPr>
              <w:spacing w:after="160" w:line="259" w:lineRule="auto"/>
              <w:rPr>
                <w:rFonts w:ascii="Twentieth Century" w:eastAsia="Twentieth Century" w:hAnsi="Twentieth Century" w:cs="Twentieth Century"/>
                <w:b/>
                <w:bCs/>
                <w:sz w:val="24"/>
                <w:szCs w:val="24"/>
              </w:rPr>
            </w:pPr>
          </w:p>
          <w:p w14:paraId="62E9E141" w14:textId="77777777" w:rsidR="000C2081" w:rsidRDefault="000C2081">
            <w:pPr>
              <w:spacing w:after="160" w:line="259" w:lineRule="auto"/>
              <w:rPr>
                <w:rFonts w:ascii="Twentieth Century" w:eastAsia="Twentieth Century" w:hAnsi="Twentieth Century" w:cs="Twentieth Century"/>
                <w:b/>
                <w:bCs/>
                <w:sz w:val="24"/>
                <w:szCs w:val="24"/>
              </w:rPr>
            </w:pPr>
          </w:p>
          <w:p w14:paraId="41736B4E" w14:textId="77777777" w:rsidR="000C2081" w:rsidRDefault="000C2081">
            <w:pPr>
              <w:spacing w:after="160" w:line="259" w:lineRule="auto"/>
              <w:rPr>
                <w:rFonts w:ascii="Twentieth Century" w:eastAsia="Twentieth Century" w:hAnsi="Twentieth Century" w:cs="Twentieth Century"/>
                <w:b/>
                <w:bCs/>
                <w:sz w:val="24"/>
                <w:szCs w:val="24"/>
              </w:rPr>
            </w:pPr>
          </w:p>
          <w:p w14:paraId="03E8705F" w14:textId="77777777" w:rsidR="000C2081" w:rsidRDefault="006F191C">
            <w:pPr>
              <w:spacing w:after="160" w:line="259" w:lineRule="auto"/>
              <w:rPr>
                <w:rFonts w:ascii="Twentieth Century" w:eastAsia="Twentieth Century" w:hAnsi="Twentieth Century" w:cs="Twentieth Century"/>
                <w:b/>
                <w:bCs/>
                <w:sz w:val="24"/>
                <w:szCs w:val="24"/>
              </w:rPr>
            </w:pPr>
            <w:r>
              <w:rPr>
                <w:rFonts w:ascii="Twentieth Century" w:eastAsia="Twentieth Century" w:hAnsi="Twentieth Century" w:cs="Twentieth Century"/>
                <w:b/>
                <w:bCs/>
                <w:sz w:val="24"/>
                <w:szCs w:val="24"/>
              </w:rPr>
              <w:t xml:space="preserve">Link to Media Reportage </w:t>
            </w:r>
          </w:p>
        </w:tc>
        <w:tc>
          <w:tcPr>
            <w:tcW w:w="6947" w:type="dxa"/>
            <w:tcBorders>
              <w:top w:val="single" w:sz="8" w:space="0" w:color="000000"/>
              <w:left w:val="single" w:sz="8" w:space="0" w:color="000000"/>
              <w:bottom w:val="single" w:sz="8" w:space="0" w:color="000000"/>
              <w:right w:val="single" w:sz="8" w:space="0" w:color="000000"/>
            </w:tcBorders>
            <w:vAlign w:val="center"/>
          </w:tcPr>
          <w:p w14:paraId="072BA89C" w14:textId="77777777" w:rsidR="000C2081" w:rsidRDefault="006F191C">
            <w:pPr>
              <w:numPr>
                <w:ilvl w:val="0"/>
                <w:numId w:val="2"/>
              </w:numPr>
              <w:spacing w:line="259" w:lineRule="auto"/>
              <w:jc w:val="both"/>
              <w:rPr>
                <w:rFonts w:ascii="Times New Roman" w:eastAsia="Times New Roman" w:hAnsi="Times New Roman" w:cs="Times New Roman"/>
                <w:b/>
                <w:bCs/>
                <w:sz w:val="24"/>
                <w:szCs w:val="24"/>
              </w:rPr>
            </w:pPr>
            <w:r>
              <w:rPr>
                <w:rFonts w:ascii="Twentieth Century" w:eastAsia="Twentieth Century" w:hAnsi="Twentieth Century" w:cs="Twentieth Century"/>
                <w:b/>
                <w:bCs/>
                <w:sz w:val="24"/>
                <w:szCs w:val="24"/>
              </w:rPr>
              <w:lastRenderedPageBreak/>
              <w:t>OPENING</w:t>
            </w:r>
          </w:p>
          <w:p w14:paraId="30F00FB6" w14:textId="77777777" w:rsidR="000C2081" w:rsidRDefault="000C2081">
            <w:pPr>
              <w:spacing w:line="259" w:lineRule="auto"/>
              <w:jc w:val="both"/>
              <w:rPr>
                <w:rFonts w:ascii="Twentieth Century" w:eastAsia="Twentieth Century" w:hAnsi="Twentieth Century" w:cs="Twentieth Century"/>
                <w:sz w:val="24"/>
                <w:szCs w:val="24"/>
              </w:rPr>
            </w:pPr>
          </w:p>
          <w:p w14:paraId="2A3DE8FA" w14:textId="77777777" w:rsidR="00EF4D01" w:rsidRDefault="006F191C">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t xml:space="preserve">The session commenced at 11:07 am with an introduction by the moderator, Madam </w:t>
            </w:r>
            <w:r>
              <w:rPr>
                <w:rFonts w:ascii="Twentieth Century" w:eastAsia="Twentieth Century" w:hAnsi="Twentieth Century" w:cs="Twentieth Century"/>
                <w:b/>
                <w:bCs/>
                <w:sz w:val="24"/>
                <w:szCs w:val="24"/>
              </w:rPr>
              <w:t>Obiageli Onuorah</w:t>
            </w:r>
            <w:r>
              <w:rPr>
                <w:rFonts w:ascii="Twentieth Century" w:eastAsia="Twentieth Century" w:hAnsi="Twentieth Century" w:cs="Twentieth Century"/>
                <w:sz w:val="24"/>
                <w:szCs w:val="24"/>
              </w:rPr>
              <w:t>. She welcomed</w:t>
            </w:r>
            <w:r w:rsidR="00EF4D01">
              <w:rPr>
                <w:rFonts w:ascii="Twentieth Century" w:eastAsia="Twentieth Century" w:hAnsi="Twentieth Century" w:cs="Twentieth Century"/>
                <w:sz w:val="24"/>
                <w:szCs w:val="24"/>
              </w:rPr>
              <w:t xml:space="preserve"> participants</w:t>
            </w:r>
            <w:r>
              <w:rPr>
                <w:rFonts w:ascii="Twentieth Century" w:eastAsia="Twentieth Century" w:hAnsi="Twentieth Century" w:cs="Twentieth Century"/>
                <w:sz w:val="24"/>
                <w:szCs w:val="24"/>
              </w:rPr>
              <w:t xml:space="preserve"> and introduced the host, </w:t>
            </w:r>
            <w:proofErr w:type="spellStart"/>
            <w:r>
              <w:rPr>
                <w:rFonts w:ascii="Twentieth Century" w:eastAsia="Twentieth Century" w:hAnsi="Twentieth Century" w:cs="Twentieth Century"/>
                <w:sz w:val="24"/>
                <w:szCs w:val="24"/>
              </w:rPr>
              <w:t>Dr.</w:t>
            </w:r>
            <w:proofErr w:type="spellEnd"/>
            <w:r>
              <w:rPr>
                <w:rFonts w:ascii="Twentieth Century" w:eastAsia="Twentieth Century" w:hAnsi="Twentieth Century" w:cs="Twentieth Century"/>
                <w:sz w:val="24"/>
                <w:szCs w:val="24"/>
              </w:rPr>
              <w:t xml:space="preserve"> </w:t>
            </w:r>
            <w:r>
              <w:rPr>
                <w:rFonts w:ascii="Twentieth Century" w:eastAsia="Twentieth Century" w:hAnsi="Twentieth Century" w:cs="Twentieth Century"/>
                <w:b/>
                <w:bCs/>
                <w:sz w:val="24"/>
                <w:szCs w:val="24"/>
              </w:rPr>
              <w:t xml:space="preserve">Orji </w:t>
            </w:r>
            <w:proofErr w:type="spellStart"/>
            <w:r>
              <w:rPr>
                <w:rFonts w:ascii="Twentieth Century" w:eastAsia="Twentieth Century" w:hAnsi="Twentieth Century" w:cs="Twentieth Century"/>
                <w:b/>
                <w:bCs/>
                <w:sz w:val="24"/>
                <w:szCs w:val="24"/>
              </w:rPr>
              <w:t>Ogbonnaya</w:t>
            </w:r>
            <w:proofErr w:type="spellEnd"/>
            <w:r>
              <w:rPr>
                <w:rFonts w:ascii="Twentieth Century" w:eastAsia="Twentieth Century" w:hAnsi="Twentieth Century" w:cs="Twentieth Century"/>
                <w:b/>
                <w:bCs/>
                <w:sz w:val="24"/>
                <w:szCs w:val="24"/>
              </w:rPr>
              <w:t xml:space="preserve"> Orji</w:t>
            </w:r>
            <w:r>
              <w:rPr>
                <w:rFonts w:ascii="Twentieth Century" w:eastAsia="Twentieth Century" w:hAnsi="Twentieth Century" w:cs="Twentieth Century"/>
                <w:sz w:val="24"/>
                <w:szCs w:val="24"/>
              </w:rPr>
              <w:t xml:space="preserve">, alongside the convener, Mr. </w:t>
            </w:r>
            <w:proofErr w:type="spellStart"/>
            <w:r>
              <w:rPr>
                <w:rFonts w:ascii="Twentieth Century" w:eastAsia="Twentieth Century" w:hAnsi="Twentieth Century" w:cs="Twentieth Century"/>
                <w:b/>
                <w:bCs/>
                <w:sz w:val="24"/>
                <w:szCs w:val="24"/>
              </w:rPr>
              <w:t>Oke</w:t>
            </w:r>
            <w:proofErr w:type="spellEnd"/>
            <w:r>
              <w:rPr>
                <w:rFonts w:ascii="Twentieth Century" w:eastAsia="Twentieth Century" w:hAnsi="Twentieth Century" w:cs="Twentieth Century"/>
                <w:b/>
                <w:bCs/>
                <w:sz w:val="24"/>
                <w:szCs w:val="24"/>
              </w:rPr>
              <w:t xml:space="preserve"> </w:t>
            </w:r>
            <w:proofErr w:type="spellStart"/>
            <w:r>
              <w:rPr>
                <w:rFonts w:ascii="Twentieth Century" w:eastAsia="Twentieth Century" w:hAnsi="Twentieth Century" w:cs="Twentieth Century"/>
                <w:b/>
                <w:bCs/>
                <w:sz w:val="24"/>
                <w:szCs w:val="24"/>
              </w:rPr>
              <w:t>Epia</w:t>
            </w:r>
            <w:proofErr w:type="spellEnd"/>
            <w:r>
              <w:rPr>
                <w:rFonts w:ascii="Twentieth Century" w:eastAsia="Twentieth Century" w:hAnsi="Twentieth Century" w:cs="Twentieth Century"/>
                <w:b/>
                <w:bCs/>
                <w:sz w:val="24"/>
                <w:szCs w:val="24"/>
              </w:rPr>
              <w:t>,</w:t>
            </w:r>
            <w:r>
              <w:rPr>
                <w:rFonts w:ascii="Twentieth Century" w:eastAsia="Twentieth Century" w:hAnsi="Twentieth Century" w:cs="Twentieth Century"/>
                <w:sz w:val="24"/>
                <w:szCs w:val="24"/>
              </w:rPr>
              <w:t xml:space="preserve"> Founder/CEO of </w:t>
            </w:r>
            <w:proofErr w:type="spellStart"/>
            <w:r>
              <w:rPr>
                <w:rFonts w:ascii="Twentieth Century" w:eastAsia="Twentieth Century" w:hAnsi="Twentieth Century" w:cs="Twentieth Century"/>
                <w:sz w:val="24"/>
                <w:szCs w:val="24"/>
              </w:rPr>
              <w:t>OrderPaper</w:t>
            </w:r>
            <w:proofErr w:type="spellEnd"/>
            <w:r>
              <w:rPr>
                <w:rFonts w:ascii="Twentieth Century" w:eastAsia="Twentieth Century" w:hAnsi="Twentieth Century" w:cs="Twentieth Century"/>
                <w:sz w:val="24"/>
                <w:szCs w:val="24"/>
              </w:rPr>
              <w:t xml:space="preserve">. </w:t>
            </w:r>
          </w:p>
          <w:p w14:paraId="049784F3" w14:textId="5F44C17F" w:rsidR="000C2081" w:rsidRDefault="00EF4D01">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t>She a</w:t>
            </w:r>
            <w:r w:rsidR="006F191C">
              <w:rPr>
                <w:rFonts w:ascii="Twentieth Century" w:eastAsia="Twentieth Century" w:hAnsi="Twentieth Century" w:cs="Twentieth Century"/>
                <w:sz w:val="24"/>
                <w:szCs w:val="24"/>
              </w:rPr>
              <w:t>lso introduced</w:t>
            </w:r>
            <w:r w:rsidR="006F191C">
              <w:rPr>
                <w:rFonts w:ascii="Twentieth Century" w:eastAsia="Twentieth Century" w:hAnsi="Twentieth Century" w:cs="Twentieth Century"/>
                <w:sz w:val="24"/>
                <w:szCs w:val="24"/>
              </w:rPr>
              <w:t xml:space="preserve"> </w:t>
            </w:r>
            <w:r w:rsidR="006F191C">
              <w:rPr>
                <w:rFonts w:ascii="Twentieth Century" w:eastAsia="Twentieth Century" w:hAnsi="Twentieth Century" w:cs="Twentieth Century"/>
                <w:sz w:val="24"/>
                <w:szCs w:val="24"/>
              </w:rPr>
              <w:t xml:space="preserve">the </w:t>
            </w:r>
            <w:proofErr w:type="spellStart"/>
            <w:r w:rsidR="006F191C">
              <w:rPr>
                <w:rFonts w:ascii="Twentieth Century" w:eastAsia="Twentieth Century" w:hAnsi="Twentieth Century" w:cs="Twentieth Century"/>
                <w:sz w:val="24"/>
                <w:szCs w:val="24"/>
              </w:rPr>
              <w:t>panelists</w:t>
            </w:r>
            <w:proofErr w:type="spellEnd"/>
            <w:r w:rsidR="006F191C">
              <w:rPr>
                <w:rFonts w:ascii="Twentieth Century" w:eastAsia="Twentieth Century" w:hAnsi="Twentieth Century" w:cs="Twentieth Century"/>
                <w:sz w:val="24"/>
                <w:szCs w:val="24"/>
              </w:rPr>
              <w:t xml:space="preserve">: </w:t>
            </w:r>
            <w:proofErr w:type="spellStart"/>
            <w:r w:rsidR="006F191C">
              <w:rPr>
                <w:rFonts w:ascii="Twentieth Century" w:eastAsia="Twentieth Century" w:hAnsi="Twentieth Century" w:cs="Twentieth Century"/>
                <w:sz w:val="24"/>
                <w:szCs w:val="24"/>
              </w:rPr>
              <w:t>Dr.</w:t>
            </w:r>
            <w:proofErr w:type="spellEnd"/>
            <w:r w:rsidR="006F191C">
              <w:rPr>
                <w:rFonts w:ascii="Twentieth Century" w:eastAsia="Twentieth Century" w:hAnsi="Twentieth Century" w:cs="Twentieth Century"/>
                <w:sz w:val="24"/>
                <w:szCs w:val="24"/>
              </w:rPr>
              <w:t xml:space="preserve"> </w:t>
            </w:r>
            <w:r w:rsidR="006F191C">
              <w:rPr>
                <w:rFonts w:ascii="Twentieth Century" w:eastAsia="Twentieth Century" w:hAnsi="Twentieth Century" w:cs="Twentieth Century"/>
                <w:b/>
                <w:bCs/>
                <w:sz w:val="24"/>
                <w:szCs w:val="24"/>
              </w:rPr>
              <w:t>Mike Uzoigwe</w:t>
            </w:r>
            <w:r w:rsidR="006F191C">
              <w:rPr>
                <w:rFonts w:ascii="Twentieth Century" w:eastAsia="Twentieth Century" w:hAnsi="Twentieth Century" w:cs="Twentieth Century"/>
                <w:sz w:val="24"/>
                <w:szCs w:val="24"/>
              </w:rPr>
              <w:t xml:space="preserve">, a policy expert on natural resource governance, and </w:t>
            </w:r>
            <w:r w:rsidR="006F191C">
              <w:rPr>
                <w:rFonts w:ascii="Twentieth Century" w:eastAsia="Twentieth Century" w:hAnsi="Twentieth Century" w:cs="Twentieth Century"/>
                <w:b/>
                <w:bCs/>
                <w:sz w:val="24"/>
                <w:szCs w:val="24"/>
              </w:rPr>
              <w:t>Mallam Haruna Yahaya</w:t>
            </w:r>
            <w:r w:rsidR="006F191C">
              <w:rPr>
                <w:rFonts w:ascii="Twentieth Century" w:eastAsia="Twentieth Century" w:hAnsi="Twentieth Century" w:cs="Twentieth Century"/>
                <w:sz w:val="24"/>
                <w:szCs w:val="24"/>
              </w:rPr>
              <w:t>, a member of the Presidential Committee on Tax Reforms and Fiscal Policy.</w:t>
            </w:r>
          </w:p>
          <w:p w14:paraId="43D40ADC" w14:textId="77777777" w:rsidR="000C2081" w:rsidRDefault="000C2081">
            <w:pPr>
              <w:spacing w:line="259" w:lineRule="auto"/>
              <w:jc w:val="both"/>
              <w:rPr>
                <w:rFonts w:ascii="Twentieth Century" w:eastAsia="Twentieth Century" w:hAnsi="Twentieth Century" w:cs="Twentieth Century"/>
                <w:sz w:val="24"/>
                <w:szCs w:val="24"/>
              </w:rPr>
            </w:pPr>
          </w:p>
          <w:p w14:paraId="38B176AF" w14:textId="77777777" w:rsidR="000C2081" w:rsidRDefault="006F191C">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lastRenderedPageBreak/>
              <w:t>In her opening address, she emphasized the significance of the dialogue ser</w:t>
            </w:r>
            <w:r>
              <w:rPr>
                <w:rFonts w:ascii="Twentieth Century" w:eastAsia="Twentieth Century" w:hAnsi="Twentieth Century" w:cs="Twentieth Century"/>
                <w:sz w:val="24"/>
                <w:szCs w:val="24"/>
              </w:rPr>
              <w:t xml:space="preserve">ies, particularly its focus on the implications of ongoing fiscal reforms on NEITI’s audits. She highlighted that the tax bills under discussion had been made available in the chat box for review and underscored the importance of stakeholder engagement in </w:t>
            </w:r>
            <w:r>
              <w:rPr>
                <w:rFonts w:ascii="Twentieth Century" w:eastAsia="Twentieth Century" w:hAnsi="Twentieth Century" w:cs="Twentieth Century"/>
                <w:sz w:val="24"/>
                <w:szCs w:val="24"/>
              </w:rPr>
              <w:t>shaping the reforms.</w:t>
            </w:r>
          </w:p>
          <w:p w14:paraId="0B22EC79" w14:textId="77777777" w:rsidR="000C2081" w:rsidRDefault="000C2081">
            <w:pPr>
              <w:spacing w:line="259" w:lineRule="auto"/>
              <w:jc w:val="both"/>
              <w:rPr>
                <w:rFonts w:ascii="Twentieth Century" w:eastAsia="Twentieth Century" w:hAnsi="Twentieth Century" w:cs="Twentieth Century"/>
                <w:sz w:val="24"/>
                <w:szCs w:val="24"/>
              </w:rPr>
            </w:pPr>
          </w:p>
          <w:p w14:paraId="55D689B7" w14:textId="77777777" w:rsidR="000C2081" w:rsidRDefault="006F191C">
            <w:pPr>
              <w:spacing w:line="259" w:lineRule="auto"/>
              <w:jc w:val="both"/>
              <w:rPr>
                <w:rFonts w:ascii="Twentieth Century" w:eastAsia="Twentieth Century" w:hAnsi="Twentieth Century" w:cs="Twentieth Century"/>
                <w:sz w:val="24"/>
                <w:szCs w:val="24"/>
              </w:rPr>
            </w:pPr>
            <w:proofErr w:type="spellStart"/>
            <w:r>
              <w:rPr>
                <w:rFonts w:ascii="Twentieth Century" w:eastAsia="Twentieth Century" w:hAnsi="Twentieth Century" w:cs="Twentieth Century"/>
                <w:sz w:val="24"/>
                <w:szCs w:val="24"/>
              </w:rPr>
              <w:t>Dr.</w:t>
            </w:r>
            <w:proofErr w:type="spellEnd"/>
            <w:r>
              <w:rPr>
                <w:rFonts w:ascii="Twentieth Century" w:eastAsia="Twentieth Century" w:hAnsi="Twentieth Century" w:cs="Twentieth Century"/>
                <w:sz w:val="24"/>
                <w:szCs w:val="24"/>
              </w:rPr>
              <w:t xml:space="preserve"> </w:t>
            </w:r>
            <w:r>
              <w:rPr>
                <w:rFonts w:ascii="Twentieth Century" w:eastAsia="Twentieth Century" w:hAnsi="Twentieth Century" w:cs="Twentieth Century"/>
                <w:b/>
                <w:bCs/>
                <w:sz w:val="24"/>
                <w:szCs w:val="24"/>
              </w:rPr>
              <w:t>Orji</w:t>
            </w:r>
            <w:r>
              <w:rPr>
                <w:rFonts w:ascii="Twentieth Century" w:eastAsia="Twentieth Century" w:hAnsi="Twentieth Century" w:cs="Twentieth Century"/>
                <w:sz w:val="24"/>
                <w:szCs w:val="24"/>
              </w:rPr>
              <w:t xml:space="preserve">, in his remarks, expressed appreciation for the collaboration between NEITI and </w:t>
            </w:r>
            <w:proofErr w:type="spellStart"/>
            <w:r>
              <w:rPr>
                <w:rFonts w:ascii="Twentieth Century" w:eastAsia="Twentieth Century" w:hAnsi="Twentieth Century" w:cs="Twentieth Century"/>
                <w:sz w:val="24"/>
                <w:szCs w:val="24"/>
              </w:rPr>
              <w:t>OrderPaper</w:t>
            </w:r>
            <w:proofErr w:type="spellEnd"/>
            <w:r>
              <w:rPr>
                <w:rFonts w:ascii="Twentieth Century" w:eastAsia="Twentieth Century" w:hAnsi="Twentieth Century" w:cs="Twentieth Century"/>
                <w:sz w:val="24"/>
                <w:szCs w:val="24"/>
              </w:rPr>
              <w:t>, recognizing the presence of key stakeholders. He reiterated the purpose of the dialogue series, which is to foster discussions on res</w:t>
            </w:r>
            <w:r>
              <w:rPr>
                <w:rFonts w:ascii="Twentieth Century" w:eastAsia="Twentieth Century" w:hAnsi="Twentieth Century" w:cs="Twentieth Century"/>
                <w:sz w:val="24"/>
                <w:szCs w:val="24"/>
              </w:rPr>
              <w:t>ource governance, fiscal transparency, and accountability in the extractive sector and public finance management in Nigeria. He noted that the inaugural edition was particularly timely, considering Nigeria's ongoing comprehensive fiscal review.</w:t>
            </w:r>
          </w:p>
          <w:p w14:paraId="226E0E52" w14:textId="77777777" w:rsidR="000C2081" w:rsidRDefault="000C2081">
            <w:pPr>
              <w:spacing w:line="259" w:lineRule="auto"/>
              <w:jc w:val="both"/>
              <w:rPr>
                <w:rFonts w:ascii="Twentieth Century" w:eastAsia="Twentieth Century" w:hAnsi="Twentieth Century" w:cs="Twentieth Century"/>
                <w:sz w:val="24"/>
                <w:szCs w:val="24"/>
              </w:rPr>
            </w:pPr>
          </w:p>
          <w:p w14:paraId="73281549" w14:textId="77777777" w:rsidR="000C2081" w:rsidRDefault="006F191C">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t>Also speak</w:t>
            </w:r>
            <w:r>
              <w:rPr>
                <w:rFonts w:ascii="Twentieth Century" w:eastAsia="Twentieth Century" w:hAnsi="Twentieth Century" w:cs="Twentieth Century"/>
                <w:sz w:val="24"/>
                <w:szCs w:val="24"/>
              </w:rPr>
              <w:t xml:space="preserve">ing, the convener, </w:t>
            </w:r>
            <w:proofErr w:type="spellStart"/>
            <w:r>
              <w:rPr>
                <w:rFonts w:ascii="Twentieth Century" w:eastAsia="Twentieth Century" w:hAnsi="Twentieth Century" w:cs="Twentieth Century"/>
                <w:b/>
                <w:bCs/>
                <w:sz w:val="24"/>
                <w:szCs w:val="24"/>
              </w:rPr>
              <w:t>Oke</w:t>
            </w:r>
            <w:proofErr w:type="spellEnd"/>
            <w:r>
              <w:rPr>
                <w:rFonts w:ascii="Twentieth Century" w:eastAsia="Twentieth Century" w:hAnsi="Twentieth Century" w:cs="Twentieth Century"/>
                <w:b/>
                <w:bCs/>
                <w:sz w:val="24"/>
                <w:szCs w:val="24"/>
              </w:rPr>
              <w:t xml:space="preserve"> </w:t>
            </w:r>
            <w:proofErr w:type="spellStart"/>
            <w:r>
              <w:rPr>
                <w:rFonts w:ascii="Twentieth Century" w:eastAsia="Twentieth Century" w:hAnsi="Twentieth Century" w:cs="Twentieth Century"/>
                <w:b/>
                <w:bCs/>
                <w:sz w:val="24"/>
                <w:szCs w:val="24"/>
              </w:rPr>
              <w:t>Epia</w:t>
            </w:r>
            <w:proofErr w:type="spellEnd"/>
            <w:r>
              <w:rPr>
                <w:rFonts w:ascii="Twentieth Century" w:eastAsia="Twentieth Century" w:hAnsi="Twentieth Century" w:cs="Twentieth Century"/>
                <w:sz w:val="24"/>
                <w:szCs w:val="24"/>
              </w:rPr>
              <w:t xml:space="preserve">, commended NEITI’s continued support for </w:t>
            </w:r>
            <w:proofErr w:type="spellStart"/>
            <w:r>
              <w:rPr>
                <w:rFonts w:ascii="Twentieth Century" w:eastAsia="Twentieth Century" w:hAnsi="Twentieth Century" w:cs="Twentieth Century"/>
                <w:sz w:val="24"/>
                <w:szCs w:val="24"/>
              </w:rPr>
              <w:t>OrderPaper’s</w:t>
            </w:r>
            <w:proofErr w:type="spellEnd"/>
            <w:r>
              <w:rPr>
                <w:rFonts w:ascii="Twentieth Century" w:eastAsia="Twentieth Century" w:hAnsi="Twentieth Century" w:cs="Twentieth Century"/>
                <w:sz w:val="24"/>
                <w:szCs w:val="24"/>
              </w:rPr>
              <w:t xml:space="preserve"> initiatives, citing past collaborations such as the </w:t>
            </w:r>
            <w:proofErr w:type="spellStart"/>
            <w:r>
              <w:rPr>
                <w:rFonts w:ascii="Twentieth Century" w:eastAsia="Twentieth Century" w:hAnsi="Twentieth Century" w:cs="Twentieth Century"/>
                <w:sz w:val="24"/>
                <w:szCs w:val="24"/>
              </w:rPr>
              <w:t>RemTrack</w:t>
            </w:r>
            <w:proofErr w:type="spellEnd"/>
            <w:r>
              <w:rPr>
                <w:rFonts w:ascii="Twentieth Century" w:eastAsia="Twentieth Century" w:hAnsi="Twentieth Century" w:cs="Twentieth Century"/>
                <w:sz w:val="24"/>
                <w:szCs w:val="24"/>
              </w:rPr>
              <w:t xml:space="preserve"> Civic Tech platform. He welcomed the subject matter experts and participants, noting the diversity of stakeholder</w:t>
            </w:r>
            <w:r>
              <w:rPr>
                <w:rFonts w:ascii="Twentieth Century" w:eastAsia="Twentieth Century" w:hAnsi="Twentieth Century" w:cs="Twentieth Century"/>
                <w:sz w:val="24"/>
                <w:szCs w:val="24"/>
              </w:rPr>
              <w:t xml:space="preserve">s in attendance. He described the </w:t>
            </w:r>
            <w:proofErr w:type="spellStart"/>
            <w:r>
              <w:rPr>
                <w:rFonts w:ascii="Twentieth Century" w:eastAsia="Twentieth Century" w:hAnsi="Twentieth Century" w:cs="Twentieth Century"/>
                <w:sz w:val="24"/>
                <w:szCs w:val="24"/>
              </w:rPr>
              <w:t>Rembinar</w:t>
            </w:r>
            <w:proofErr w:type="spellEnd"/>
            <w:r>
              <w:rPr>
                <w:rFonts w:ascii="Twentieth Century" w:eastAsia="Twentieth Century" w:hAnsi="Twentieth Century" w:cs="Twentieth Century"/>
                <w:sz w:val="24"/>
                <w:szCs w:val="24"/>
              </w:rPr>
              <w:t xml:space="preserve"> Dialogue Series as an avenue to expand </w:t>
            </w:r>
            <w:proofErr w:type="spellStart"/>
            <w:r>
              <w:rPr>
                <w:rFonts w:ascii="Twentieth Century" w:eastAsia="Twentieth Century" w:hAnsi="Twentieth Century" w:cs="Twentieth Century"/>
                <w:sz w:val="24"/>
                <w:szCs w:val="24"/>
              </w:rPr>
              <w:t>RemTrack’s</w:t>
            </w:r>
            <w:proofErr w:type="spellEnd"/>
            <w:r>
              <w:rPr>
                <w:rFonts w:ascii="Twentieth Century" w:eastAsia="Twentieth Century" w:hAnsi="Twentieth Century" w:cs="Twentieth Century"/>
                <w:sz w:val="24"/>
                <w:szCs w:val="24"/>
              </w:rPr>
              <w:t xml:space="preserve"> scope, incorporating emerging global standards in resource governance. The expanded focus will include public engagement on issues such as energy transition, clima</w:t>
            </w:r>
            <w:r>
              <w:rPr>
                <w:rFonts w:ascii="Twentieth Century" w:eastAsia="Twentieth Century" w:hAnsi="Twentieth Century" w:cs="Twentieth Century"/>
                <w:sz w:val="24"/>
                <w:szCs w:val="24"/>
              </w:rPr>
              <w:t xml:space="preserve">te change, beneficial ownership, social dimensions of resource governance (including host communities), and contract transparency. He explained that the series would initially </w:t>
            </w:r>
            <w:proofErr w:type="spellStart"/>
            <w:r>
              <w:rPr>
                <w:rFonts w:ascii="Twentieth Century" w:eastAsia="Twentieth Century" w:hAnsi="Twentieth Century" w:cs="Twentieth Century"/>
                <w:sz w:val="24"/>
                <w:szCs w:val="24"/>
              </w:rPr>
              <w:t>center</w:t>
            </w:r>
            <w:proofErr w:type="spellEnd"/>
            <w:r>
              <w:rPr>
                <w:rFonts w:ascii="Twentieth Century" w:eastAsia="Twentieth Century" w:hAnsi="Twentieth Century" w:cs="Twentieth Century"/>
                <w:sz w:val="24"/>
                <w:szCs w:val="24"/>
              </w:rPr>
              <w:t xml:space="preserve"> on tax reforms due to their significant implications for Nigeria’s econom</w:t>
            </w:r>
            <w:r>
              <w:rPr>
                <w:rFonts w:ascii="Twentieth Century" w:eastAsia="Twentieth Century" w:hAnsi="Twentieth Century" w:cs="Twentieth Century"/>
                <w:sz w:val="24"/>
                <w:szCs w:val="24"/>
              </w:rPr>
              <w:t>y.</w:t>
            </w:r>
          </w:p>
          <w:p w14:paraId="63C585E2" w14:textId="77777777" w:rsidR="000C2081" w:rsidRDefault="000C2081">
            <w:pPr>
              <w:spacing w:line="259" w:lineRule="auto"/>
              <w:jc w:val="both"/>
              <w:rPr>
                <w:rFonts w:ascii="Twentieth Century" w:eastAsia="Twentieth Century" w:hAnsi="Twentieth Century" w:cs="Twentieth Century"/>
                <w:sz w:val="24"/>
                <w:szCs w:val="24"/>
              </w:rPr>
            </w:pPr>
          </w:p>
          <w:p w14:paraId="2BAE0C64" w14:textId="77777777" w:rsidR="000C2081" w:rsidRDefault="000C2081">
            <w:pPr>
              <w:spacing w:line="259" w:lineRule="auto"/>
              <w:jc w:val="both"/>
              <w:rPr>
                <w:rFonts w:ascii="Twentieth Century" w:eastAsia="Twentieth Century" w:hAnsi="Twentieth Century" w:cs="Twentieth Century"/>
                <w:sz w:val="24"/>
                <w:szCs w:val="24"/>
              </w:rPr>
            </w:pPr>
          </w:p>
          <w:p w14:paraId="4F1E1146" w14:textId="77777777" w:rsidR="000C2081" w:rsidRDefault="006F191C">
            <w:pPr>
              <w:numPr>
                <w:ilvl w:val="0"/>
                <w:numId w:val="2"/>
              </w:numPr>
              <w:spacing w:line="259" w:lineRule="auto"/>
              <w:jc w:val="both"/>
              <w:rPr>
                <w:rFonts w:ascii="Times New Roman" w:eastAsia="Times New Roman" w:hAnsi="Times New Roman" w:cs="Times New Roman"/>
                <w:b/>
                <w:bCs/>
                <w:sz w:val="24"/>
                <w:szCs w:val="24"/>
              </w:rPr>
            </w:pPr>
            <w:r>
              <w:rPr>
                <w:rFonts w:ascii="Twentieth Century" w:eastAsia="Twentieth Century" w:hAnsi="Twentieth Century" w:cs="Twentieth Century"/>
                <w:b/>
                <w:bCs/>
                <w:sz w:val="24"/>
                <w:szCs w:val="24"/>
              </w:rPr>
              <w:t xml:space="preserve">DISCUSSION SUMMARIES </w:t>
            </w:r>
          </w:p>
          <w:p w14:paraId="4F898611" w14:textId="77777777" w:rsidR="000C2081" w:rsidRDefault="000C2081">
            <w:pPr>
              <w:spacing w:line="259" w:lineRule="auto"/>
              <w:jc w:val="both"/>
              <w:rPr>
                <w:rFonts w:ascii="Twentieth Century" w:eastAsia="Twentieth Century" w:hAnsi="Twentieth Century" w:cs="Twentieth Century"/>
                <w:sz w:val="24"/>
                <w:szCs w:val="24"/>
              </w:rPr>
            </w:pPr>
          </w:p>
          <w:p w14:paraId="69E919A2" w14:textId="77777777" w:rsidR="000C2081" w:rsidRDefault="006F191C">
            <w:pPr>
              <w:spacing w:line="259" w:lineRule="auto"/>
              <w:jc w:val="both"/>
              <w:rPr>
                <w:rFonts w:ascii="Twentieth Century" w:eastAsia="Twentieth Century" w:hAnsi="Twentieth Century" w:cs="Twentieth Century"/>
                <w:sz w:val="24"/>
                <w:szCs w:val="24"/>
              </w:rPr>
            </w:pPr>
            <w:proofErr w:type="spellStart"/>
            <w:r>
              <w:rPr>
                <w:rFonts w:ascii="Twentieth Century" w:eastAsia="Twentieth Century" w:hAnsi="Twentieth Century" w:cs="Twentieth Century"/>
                <w:sz w:val="24"/>
                <w:szCs w:val="24"/>
              </w:rPr>
              <w:t>Dr.</w:t>
            </w:r>
            <w:proofErr w:type="spellEnd"/>
            <w:r>
              <w:rPr>
                <w:rFonts w:ascii="Twentieth Century" w:eastAsia="Twentieth Century" w:hAnsi="Twentieth Century" w:cs="Twentieth Century"/>
                <w:sz w:val="24"/>
                <w:szCs w:val="24"/>
              </w:rPr>
              <w:t xml:space="preserve"> </w:t>
            </w:r>
            <w:r>
              <w:rPr>
                <w:rFonts w:ascii="Twentieth Century" w:eastAsia="Twentieth Century" w:hAnsi="Twentieth Century" w:cs="Twentieth Century"/>
                <w:b/>
                <w:bCs/>
                <w:sz w:val="24"/>
                <w:szCs w:val="24"/>
              </w:rPr>
              <w:t>Orji</w:t>
            </w:r>
            <w:r>
              <w:rPr>
                <w:rFonts w:ascii="Twentieth Century" w:eastAsia="Twentieth Century" w:hAnsi="Twentieth Century" w:cs="Twentieth Century"/>
                <w:sz w:val="24"/>
                <w:szCs w:val="24"/>
              </w:rPr>
              <w:t xml:space="preserve"> opened the discussion by noting that the Nigerian tax reform bill, currently under legislative review, represents a bold effort to modernize the country’s tax system, aiming to enhance revenue mobilization, management, </w:t>
            </w:r>
            <w:r>
              <w:rPr>
                <w:rFonts w:ascii="Twentieth Century" w:eastAsia="Twentieth Century" w:hAnsi="Twentieth Century" w:cs="Twentieth Century"/>
                <w:sz w:val="24"/>
                <w:szCs w:val="24"/>
              </w:rPr>
              <w:t xml:space="preserve">and transparency. He emphasized the critical role of the extractive sector in Nigeria’s economy but highlighted persistent challenges such as tax evasion, revenue leakages, weak enforcement mechanisms, and lack of transparency. </w:t>
            </w:r>
            <w:r>
              <w:rPr>
                <w:rFonts w:ascii="Twentieth Century" w:eastAsia="Twentieth Century" w:hAnsi="Twentieth Century" w:cs="Twentieth Century"/>
                <w:sz w:val="24"/>
                <w:szCs w:val="24"/>
              </w:rPr>
              <w:lastRenderedPageBreak/>
              <w:t>The 2024 tax reform bills, h</w:t>
            </w:r>
            <w:r>
              <w:rPr>
                <w:rFonts w:ascii="Twentieth Century" w:eastAsia="Twentieth Century" w:hAnsi="Twentieth Century" w:cs="Twentieth Century"/>
                <w:sz w:val="24"/>
                <w:szCs w:val="24"/>
              </w:rPr>
              <w:t>e stated, seek to address these issues by streamlining legal frameworks and improving compliance across key industries, including oil, gas, and mining.</w:t>
            </w:r>
          </w:p>
          <w:p w14:paraId="2E89456D" w14:textId="77777777" w:rsidR="000C2081" w:rsidRDefault="000C2081">
            <w:pPr>
              <w:spacing w:line="259" w:lineRule="auto"/>
              <w:jc w:val="both"/>
              <w:rPr>
                <w:rFonts w:ascii="Twentieth Century" w:eastAsia="Twentieth Century" w:hAnsi="Twentieth Century" w:cs="Twentieth Century"/>
                <w:sz w:val="24"/>
                <w:szCs w:val="24"/>
              </w:rPr>
            </w:pPr>
          </w:p>
          <w:p w14:paraId="63393DD0" w14:textId="77777777" w:rsidR="000C2081" w:rsidRDefault="006F191C">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t xml:space="preserve">He revealed that NEITI had submitted its position on the bills to the National Assembly and the Presidential Committee on Tax Reforms, expressing overall support while also identifying areas that require further scrutiny. Some of the key provisions in the </w:t>
            </w:r>
            <w:r>
              <w:rPr>
                <w:rFonts w:ascii="Twentieth Century" w:eastAsia="Twentieth Century" w:hAnsi="Twentieth Century" w:cs="Twentieth Century"/>
                <w:sz w:val="24"/>
                <w:szCs w:val="24"/>
              </w:rPr>
              <w:t>bill include consolidating existing tax laws into a single framework, clarifying regulations, and strengthening compliance mechanisms. Notably, the bills also introduce taxation on digital assets and non-resident entities, implement stricter anti-tax avoid</w:t>
            </w:r>
            <w:r>
              <w:rPr>
                <w:rFonts w:ascii="Twentieth Century" w:eastAsia="Twentieth Century" w:hAnsi="Twentieth Century" w:cs="Twentieth Century"/>
                <w:sz w:val="24"/>
                <w:szCs w:val="24"/>
              </w:rPr>
              <w:t>ance measures, and enforce minimum effective tax rates to curb profit shifting. Additionally, improvements in VAT administration, double taxation relief, and tax incentives for private sector initiatives are key highlights.</w:t>
            </w:r>
          </w:p>
          <w:p w14:paraId="26053EE3" w14:textId="77777777" w:rsidR="000C2081" w:rsidRDefault="000C2081">
            <w:pPr>
              <w:spacing w:line="259" w:lineRule="auto"/>
              <w:jc w:val="both"/>
              <w:rPr>
                <w:rFonts w:ascii="Twentieth Century" w:eastAsia="Twentieth Century" w:hAnsi="Twentieth Century" w:cs="Twentieth Century"/>
                <w:sz w:val="24"/>
                <w:szCs w:val="24"/>
              </w:rPr>
            </w:pPr>
          </w:p>
          <w:p w14:paraId="324A5AA4" w14:textId="77777777" w:rsidR="000C2081" w:rsidRDefault="006F191C">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t>While acknowledging the progres</w:t>
            </w:r>
            <w:r>
              <w:rPr>
                <w:rFonts w:ascii="Twentieth Century" w:eastAsia="Twentieth Century" w:hAnsi="Twentieth Century" w:cs="Twentieth Century"/>
                <w:sz w:val="24"/>
                <w:szCs w:val="24"/>
              </w:rPr>
              <w:t xml:space="preserve">sive nature of the reforms, </w:t>
            </w:r>
            <w:proofErr w:type="spellStart"/>
            <w:r>
              <w:rPr>
                <w:rFonts w:ascii="Twentieth Century" w:eastAsia="Twentieth Century" w:hAnsi="Twentieth Century" w:cs="Twentieth Century"/>
                <w:sz w:val="24"/>
                <w:szCs w:val="24"/>
              </w:rPr>
              <w:t>Dr.</w:t>
            </w:r>
            <w:proofErr w:type="spellEnd"/>
            <w:r>
              <w:rPr>
                <w:rFonts w:ascii="Twentieth Century" w:eastAsia="Twentieth Century" w:hAnsi="Twentieth Century" w:cs="Twentieth Century"/>
                <w:sz w:val="24"/>
                <w:szCs w:val="24"/>
              </w:rPr>
              <w:t xml:space="preserve"> </w:t>
            </w:r>
            <w:r>
              <w:rPr>
                <w:rFonts w:ascii="Twentieth Century" w:eastAsia="Twentieth Century" w:hAnsi="Twentieth Century" w:cs="Twentieth Century"/>
                <w:b/>
                <w:bCs/>
                <w:sz w:val="24"/>
                <w:szCs w:val="24"/>
              </w:rPr>
              <w:t>Orji</w:t>
            </w:r>
            <w:r>
              <w:rPr>
                <w:rFonts w:ascii="Twentieth Century" w:eastAsia="Twentieth Century" w:hAnsi="Twentieth Century" w:cs="Twentieth Century"/>
                <w:sz w:val="24"/>
                <w:szCs w:val="24"/>
              </w:rPr>
              <w:t xml:space="preserve"> stressed the need to assess their impact on revenue transparency and sector-specific compliance challenges. He also raised concerns about how the legislation would affect crude sales revenue remitted to the federal trea</w:t>
            </w:r>
            <w:r>
              <w:rPr>
                <w:rFonts w:ascii="Twentieth Century" w:eastAsia="Twentieth Century" w:hAnsi="Twentieth Century" w:cs="Twentieth Century"/>
                <w:sz w:val="24"/>
                <w:szCs w:val="24"/>
              </w:rPr>
              <w:t>sury and the broader implications for NEITI’s audits. He pointed out that revenue collection processes must be critically examined to determine who benefits and whether the reforms would enhance or undermine government earnings.</w:t>
            </w:r>
          </w:p>
          <w:p w14:paraId="698406B0" w14:textId="77777777" w:rsidR="000C2081" w:rsidRDefault="000C2081">
            <w:pPr>
              <w:spacing w:line="259" w:lineRule="auto"/>
              <w:jc w:val="both"/>
              <w:rPr>
                <w:rFonts w:ascii="Twentieth Century" w:eastAsia="Twentieth Century" w:hAnsi="Twentieth Century" w:cs="Twentieth Century"/>
                <w:sz w:val="24"/>
                <w:szCs w:val="24"/>
              </w:rPr>
            </w:pPr>
          </w:p>
          <w:p w14:paraId="09018839" w14:textId="77777777" w:rsidR="000C2081" w:rsidRDefault="006F191C">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t xml:space="preserve">He further disclosed that </w:t>
            </w:r>
            <w:r>
              <w:rPr>
                <w:rFonts w:ascii="Twentieth Century" w:eastAsia="Twentieth Century" w:hAnsi="Twentieth Century" w:cs="Twentieth Century"/>
                <w:sz w:val="24"/>
                <w:szCs w:val="24"/>
              </w:rPr>
              <w:t>NEITI had actively engaged with civil society stakeholders on the proposed legislation and would continue to provide technical input. While acknowledging the bills’ potential to strengthen revenue administration, he underscored the need for an investor-fri</w:t>
            </w:r>
            <w:r>
              <w:rPr>
                <w:rFonts w:ascii="Twentieth Century" w:eastAsia="Twentieth Century" w:hAnsi="Twentieth Century" w:cs="Twentieth Century"/>
                <w:sz w:val="24"/>
                <w:szCs w:val="24"/>
              </w:rPr>
              <w:t>endly tax system. He also linked the discussion to Nigeria’s implementation of the EITI framework, particularly in relation to institutional and governance reforms, as well as public finance management.</w:t>
            </w:r>
          </w:p>
          <w:p w14:paraId="1AD3B6F8" w14:textId="77777777" w:rsidR="000C2081" w:rsidRDefault="000C2081">
            <w:pPr>
              <w:spacing w:line="259" w:lineRule="auto"/>
              <w:jc w:val="both"/>
              <w:rPr>
                <w:rFonts w:ascii="Twentieth Century" w:eastAsia="Twentieth Century" w:hAnsi="Twentieth Century" w:cs="Twentieth Century"/>
                <w:sz w:val="24"/>
                <w:szCs w:val="24"/>
              </w:rPr>
            </w:pPr>
          </w:p>
          <w:p w14:paraId="471F0DC7" w14:textId="77777777" w:rsidR="000C2081" w:rsidRDefault="006F191C">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t>As part of NEITI’s long-term strategy to support fis</w:t>
            </w:r>
            <w:r>
              <w:rPr>
                <w:rFonts w:ascii="Twentieth Century" w:eastAsia="Twentieth Century" w:hAnsi="Twentieth Century" w:cs="Twentieth Century"/>
                <w:sz w:val="24"/>
                <w:szCs w:val="24"/>
              </w:rPr>
              <w:t xml:space="preserve">cal reforms, </w:t>
            </w:r>
            <w:proofErr w:type="spellStart"/>
            <w:r>
              <w:rPr>
                <w:rFonts w:ascii="Twentieth Century" w:eastAsia="Twentieth Century" w:hAnsi="Twentieth Century" w:cs="Twentieth Century"/>
                <w:sz w:val="24"/>
                <w:szCs w:val="24"/>
              </w:rPr>
              <w:t>Dr.</w:t>
            </w:r>
            <w:proofErr w:type="spellEnd"/>
            <w:r>
              <w:rPr>
                <w:rFonts w:ascii="Twentieth Century" w:eastAsia="Twentieth Century" w:hAnsi="Twentieth Century" w:cs="Twentieth Century"/>
                <w:sz w:val="24"/>
                <w:szCs w:val="24"/>
              </w:rPr>
              <w:t xml:space="preserve"> </w:t>
            </w:r>
            <w:r>
              <w:rPr>
                <w:rFonts w:ascii="Twentieth Century" w:eastAsia="Twentieth Century" w:hAnsi="Twentieth Century" w:cs="Twentieth Century"/>
                <w:b/>
                <w:bCs/>
                <w:sz w:val="24"/>
                <w:szCs w:val="24"/>
              </w:rPr>
              <w:t>Orji</w:t>
            </w:r>
            <w:r>
              <w:rPr>
                <w:rFonts w:ascii="Twentieth Century" w:eastAsia="Twentieth Century" w:hAnsi="Twentieth Century" w:cs="Twentieth Century"/>
                <w:sz w:val="24"/>
                <w:szCs w:val="24"/>
              </w:rPr>
              <w:t xml:space="preserve"> announced the establishment of a data </w:t>
            </w:r>
            <w:proofErr w:type="spellStart"/>
            <w:r>
              <w:rPr>
                <w:rFonts w:ascii="Twentieth Century" w:eastAsia="Twentieth Century" w:hAnsi="Twentieth Century" w:cs="Twentieth Century"/>
                <w:sz w:val="24"/>
                <w:szCs w:val="24"/>
              </w:rPr>
              <w:t>center</w:t>
            </w:r>
            <w:proofErr w:type="spellEnd"/>
            <w:r>
              <w:rPr>
                <w:rFonts w:ascii="Twentieth Century" w:eastAsia="Twentieth Century" w:hAnsi="Twentieth Century" w:cs="Twentieth Century"/>
                <w:sz w:val="24"/>
                <w:szCs w:val="24"/>
              </w:rPr>
              <w:t xml:space="preserve"> aimed at advancing real-time data collection, reconciliation, and visualization. The </w:t>
            </w:r>
            <w:proofErr w:type="spellStart"/>
            <w:r>
              <w:rPr>
                <w:rFonts w:ascii="Twentieth Century" w:eastAsia="Twentieth Century" w:hAnsi="Twentieth Century" w:cs="Twentieth Century"/>
                <w:sz w:val="24"/>
                <w:szCs w:val="24"/>
              </w:rPr>
              <w:t>center</w:t>
            </w:r>
            <w:proofErr w:type="spellEnd"/>
            <w:r>
              <w:rPr>
                <w:rFonts w:ascii="Twentieth Century" w:eastAsia="Twentieth Century" w:hAnsi="Twentieth Century" w:cs="Twentieth Century"/>
                <w:sz w:val="24"/>
                <w:szCs w:val="24"/>
              </w:rPr>
              <w:t>, he explained, will provide stakeholders with reliable data for informed decision-making. Infrast</w:t>
            </w:r>
            <w:r>
              <w:rPr>
                <w:rFonts w:ascii="Twentieth Century" w:eastAsia="Twentieth Century" w:hAnsi="Twentieth Century" w:cs="Twentieth Century"/>
                <w:sz w:val="24"/>
                <w:szCs w:val="24"/>
              </w:rPr>
              <w:t xml:space="preserve">ructure for the project was </w:t>
            </w:r>
            <w:r>
              <w:rPr>
                <w:rFonts w:ascii="Twentieth Century" w:eastAsia="Twentieth Century" w:hAnsi="Twentieth Century" w:cs="Twentieth Century"/>
                <w:sz w:val="24"/>
                <w:szCs w:val="24"/>
              </w:rPr>
              <w:lastRenderedPageBreak/>
              <w:t>completed in August 2024, and budgetary provisions have been made for full-scale implementation in 2025, he added.</w:t>
            </w:r>
          </w:p>
          <w:p w14:paraId="0D60624A" w14:textId="77777777" w:rsidR="000C2081" w:rsidRDefault="000C2081">
            <w:pPr>
              <w:spacing w:line="259" w:lineRule="auto"/>
              <w:jc w:val="both"/>
              <w:rPr>
                <w:rFonts w:ascii="Twentieth Century" w:eastAsia="Twentieth Century" w:hAnsi="Twentieth Century" w:cs="Twentieth Century"/>
                <w:sz w:val="24"/>
                <w:szCs w:val="24"/>
              </w:rPr>
            </w:pPr>
          </w:p>
          <w:p w14:paraId="45A75FF0" w14:textId="77777777" w:rsidR="000C2081" w:rsidRDefault="006F191C">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t xml:space="preserve">Speaking next, Mallam </w:t>
            </w:r>
            <w:r>
              <w:rPr>
                <w:rFonts w:ascii="Twentieth Century" w:eastAsia="Twentieth Century" w:hAnsi="Twentieth Century" w:cs="Twentieth Century"/>
                <w:b/>
                <w:bCs/>
                <w:sz w:val="24"/>
                <w:szCs w:val="24"/>
              </w:rPr>
              <w:t>Haruna Yahaya</w:t>
            </w:r>
            <w:r>
              <w:rPr>
                <w:rFonts w:ascii="Twentieth Century" w:eastAsia="Twentieth Century" w:hAnsi="Twentieth Century" w:cs="Twentieth Century"/>
                <w:sz w:val="24"/>
                <w:szCs w:val="24"/>
              </w:rPr>
              <w:t xml:space="preserve"> provided an overview of the Nigerian tax reform bills transmitted to the Nat</w:t>
            </w:r>
            <w:r>
              <w:rPr>
                <w:rFonts w:ascii="Twentieth Century" w:eastAsia="Twentieth Century" w:hAnsi="Twentieth Century" w:cs="Twentieth Century"/>
                <w:sz w:val="24"/>
                <w:szCs w:val="24"/>
              </w:rPr>
              <w:t>ional Assembly on October 3, 2024, by President Bola Ahmed Tinubu. The reforms consist of four bills: the Nigerian Tax Bill, which consolidates all taxes into a single document; the Tax Administration Bill, which focuses on enforcement mechanisms; a bill r</w:t>
            </w:r>
            <w:r>
              <w:rPr>
                <w:rFonts w:ascii="Twentieth Century" w:eastAsia="Twentieth Century" w:hAnsi="Twentieth Century" w:cs="Twentieth Century"/>
                <w:sz w:val="24"/>
                <w:szCs w:val="24"/>
              </w:rPr>
              <w:t>enaming the Federal Inland Revenue Service (FIRS); and a bill establishing a Joint Revenue Board to replace the existing Joint Tax Board.</w:t>
            </w:r>
          </w:p>
          <w:p w14:paraId="411856B9" w14:textId="77777777" w:rsidR="000C2081" w:rsidRDefault="000C2081">
            <w:pPr>
              <w:spacing w:line="259" w:lineRule="auto"/>
              <w:jc w:val="both"/>
              <w:rPr>
                <w:rFonts w:ascii="Twentieth Century" w:eastAsia="Twentieth Century" w:hAnsi="Twentieth Century" w:cs="Twentieth Century"/>
                <w:sz w:val="24"/>
                <w:szCs w:val="24"/>
              </w:rPr>
            </w:pPr>
          </w:p>
          <w:p w14:paraId="5DC3DD8F" w14:textId="77777777" w:rsidR="000C2081" w:rsidRDefault="006F191C">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t>He explained that these reforms have significant implications for the extractive sector, particularly in the oil, gas</w:t>
            </w:r>
            <w:r>
              <w:rPr>
                <w:rFonts w:ascii="Twentieth Century" w:eastAsia="Twentieth Century" w:hAnsi="Twentieth Century" w:cs="Twentieth Century"/>
                <w:sz w:val="24"/>
                <w:szCs w:val="24"/>
              </w:rPr>
              <w:t>, and solid minerals industries. Specific provisions address petroleum tax consolidation, the inclusion of deep-sea and inland production-sharing contracts, and the streamlining of revenue collection from mining companies based on production thresholds. Ad</w:t>
            </w:r>
            <w:r>
              <w:rPr>
                <w:rFonts w:ascii="Twentieth Century" w:eastAsia="Twentieth Century" w:hAnsi="Twentieth Century" w:cs="Twentieth Century"/>
                <w:sz w:val="24"/>
                <w:szCs w:val="24"/>
              </w:rPr>
              <w:t>ditionally, VAT rates for companies will be determined based on their activity levels, while all tax payments will be centralized under the soon-to-be-renamed National Revenue Service.</w:t>
            </w:r>
          </w:p>
          <w:p w14:paraId="3E17956F" w14:textId="77777777" w:rsidR="000C2081" w:rsidRDefault="000C2081">
            <w:pPr>
              <w:spacing w:line="259" w:lineRule="auto"/>
              <w:jc w:val="both"/>
              <w:rPr>
                <w:rFonts w:ascii="Twentieth Century" w:eastAsia="Twentieth Century" w:hAnsi="Twentieth Century" w:cs="Twentieth Century"/>
                <w:sz w:val="24"/>
                <w:szCs w:val="24"/>
              </w:rPr>
            </w:pPr>
          </w:p>
          <w:p w14:paraId="29CC9F0A" w14:textId="77777777" w:rsidR="000C2081" w:rsidRDefault="006F191C">
            <w:pPr>
              <w:spacing w:line="259" w:lineRule="auto"/>
              <w:jc w:val="both"/>
              <w:rPr>
                <w:rFonts w:ascii="Twentieth Century" w:eastAsia="Twentieth Century" w:hAnsi="Twentieth Century" w:cs="Twentieth Century"/>
                <w:sz w:val="24"/>
                <w:szCs w:val="24"/>
              </w:rPr>
            </w:pPr>
            <w:proofErr w:type="spellStart"/>
            <w:r>
              <w:rPr>
                <w:rFonts w:ascii="Twentieth Century" w:eastAsia="Twentieth Century" w:hAnsi="Twentieth Century" w:cs="Twentieth Century"/>
                <w:sz w:val="24"/>
                <w:szCs w:val="24"/>
              </w:rPr>
              <w:t>Dr.</w:t>
            </w:r>
            <w:proofErr w:type="spellEnd"/>
            <w:r>
              <w:rPr>
                <w:rFonts w:ascii="Twentieth Century" w:eastAsia="Twentieth Century" w:hAnsi="Twentieth Century" w:cs="Twentieth Century"/>
                <w:sz w:val="24"/>
                <w:szCs w:val="24"/>
              </w:rPr>
              <w:t xml:space="preserve"> </w:t>
            </w:r>
            <w:r>
              <w:rPr>
                <w:rFonts w:ascii="Twentieth Century" w:eastAsia="Twentieth Century" w:hAnsi="Twentieth Century" w:cs="Twentieth Century"/>
                <w:b/>
                <w:bCs/>
                <w:sz w:val="24"/>
                <w:szCs w:val="24"/>
              </w:rPr>
              <w:t>Mike Uzoigwe</w:t>
            </w:r>
            <w:r>
              <w:rPr>
                <w:rFonts w:ascii="Twentieth Century" w:eastAsia="Twentieth Century" w:hAnsi="Twentieth Century" w:cs="Twentieth Century"/>
                <w:sz w:val="24"/>
                <w:szCs w:val="24"/>
              </w:rPr>
              <w:t>, drawing from his experience as a former EITI country</w:t>
            </w:r>
            <w:r>
              <w:rPr>
                <w:rFonts w:ascii="Twentieth Century" w:eastAsia="Twentieth Century" w:hAnsi="Twentieth Century" w:cs="Twentieth Century"/>
                <w:sz w:val="24"/>
                <w:szCs w:val="24"/>
              </w:rPr>
              <w:t xml:space="preserve"> manager for Anglophone Africa, emphasized the importance of aligning emerging tax reforms with Nigeria’s national priorities, particularly the need for enhanced revenue generation. He stressed the necessity of robust stakeholder engagement to ensure that </w:t>
            </w:r>
            <w:r>
              <w:rPr>
                <w:rFonts w:ascii="Twentieth Century" w:eastAsia="Twentieth Century" w:hAnsi="Twentieth Century" w:cs="Twentieth Century"/>
                <w:sz w:val="24"/>
                <w:szCs w:val="24"/>
              </w:rPr>
              <w:t>the reforms are well understood and effectively implemented. He also highlighted NEITI’s pivotal role in ensuring that transparency and accountability remain central to tax administration processes.</w:t>
            </w:r>
          </w:p>
          <w:p w14:paraId="29FE02B3" w14:textId="77777777" w:rsidR="000C2081" w:rsidRDefault="000C2081">
            <w:pPr>
              <w:spacing w:line="259" w:lineRule="auto"/>
              <w:jc w:val="both"/>
              <w:rPr>
                <w:rFonts w:ascii="Twentieth Century" w:eastAsia="Twentieth Century" w:hAnsi="Twentieth Century" w:cs="Twentieth Century"/>
                <w:sz w:val="24"/>
                <w:szCs w:val="24"/>
              </w:rPr>
            </w:pPr>
          </w:p>
          <w:p w14:paraId="10BA4C1F" w14:textId="77777777" w:rsidR="000C2081" w:rsidRDefault="006F191C">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t xml:space="preserve">The dialogue further explored the potential benefits of </w:t>
            </w:r>
            <w:r>
              <w:rPr>
                <w:rFonts w:ascii="Twentieth Century" w:eastAsia="Twentieth Century" w:hAnsi="Twentieth Century" w:cs="Twentieth Century"/>
                <w:sz w:val="24"/>
                <w:szCs w:val="24"/>
              </w:rPr>
              <w:t>consolidating over 50 tax legislations into a single framework, creating a “one-stop shop” for tax administration. This move is expected to enhance efficiency and reduce bureaucratic bottlenecks. However, concerns were also raised about potential challenge</w:t>
            </w:r>
            <w:r>
              <w:rPr>
                <w:rFonts w:ascii="Twentieth Century" w:eastAsia="Twentieth Century" w:hAnsi="Twentieth Century" w:cs="Twentieth Century"/>
                <w:sz w:val="24"/>
                <w:szCs w:val="24"/>
              </w:rPr>
              <w:t>s, reinforcing the need for inclusive consultations throughout the reform process.</w:t>
            </w:r>
          </w:p>
          <w:p w14:paraId="5606F27D" w14:textId="77777777" w:rsidR="000C2081" w:rsidRDefault="000C2081">
            <w:pPr>
              <w:spacing w:line="259" w:lineRule="auto"/>
              <w:jc w:val="both"/>
              <w:rPr>
                <w:rFonts w:ascii="Twentieth Century" w:eastAsia="Twentieth Century" w:hAnsi="Twentieth Century" w:cs="Twentieth Century"/>
                <w:sz w:val="24"/>
                <w:szCs w:val="24"/>
              </w:rPr>
            </w:pPr>
          </w:p>
          <w:p w14:paraId="63918C36" w14:textId="77777777" w:rsidR="000C2081" w:rsidRDefault="006F191C">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lastRenderedPageBreak/>
              <w:t xml:space="preserve">Addressing a question from </w:t>
            </w:r>
            <w:proofErr w:type="spellStart"/>
            <w:r>
              <w:rPr>
                <w:rFonts w:ascii="Twentieth Century" w:eastAsia="Twentieth Century" w:hAnsi="Twentieth Century" w:cs="Twentieth Century"/>
                <w:sz w:val="24"/>
                <w:szCs w:val="24"/>
              </w:rPr>
              <w:t>Dr.</w:t>
            </w:r>
            <w:proofErr w:type="spellEnd"/>
            <w:r>
              <w:rPr>
                <w:rFonts w:ascii="Twentieth Century" w:eastAsia="Twentieth Century" w:hAnsi="Twentieth Century" w:cs="Twentieth Century"/>
                <w:sz w:val="24"/>
                <w:szCs w:val="24"/>
              </w:rPr>
              <w:t xml:space="preserve"> Umar regarding how the Presidential Committee on Fiscal Policy and Tax Reforms plans to address challenges arising from the centralization of</w:t>
            </w:r>
            <w:r>
              <w:rPr>
                <w:rFonts w:ascii="Twentieth Century" w:eastAsia="Twentieth Century" w:hAnsi="Twentieth Century" w:cs="Twentieth Century"/>
                <w:sz w:val="24"/>
                <w:szCs w:val="24"/>
              </w:rPr>
              <w:t xml:space="preserve"> tax collection, Mallam </w:t>
            </w:r>
            <w:r>
              <w:rPr>
                <w:rFonts w:ascii="Twentieth Century" w:eastAsia="Twentieth Century" w:hAnsi="Twentieth Century" w:cs="Twentieth Century"/>
                <w:b/>
                <w:bCs/>
                <w:sz w:val="24"/>
                <w:szCs w:val="24"/>
              </w:rPr>
              <w:t>Haruna</w:t>
            </w:r>
            <w:r>
              <w:rPr>
                <w:rFonts w:ascii="Twentieth Century" w:eastAsia="Twentieth Century" w:hAnsi="Twentieth Century" w:cs="Twentieth Century"/>
                <w:sz w:val="24"/>
                <w:szCs w:val="24"/>
              </w:rPr>
              <w:t xml:space="preserve"> assured that advanced technology would be deployed to ensure transparency and accountability. He stated that each taxpayer would be assigned a unique identification number to facilitate tracking and intelligence gathering, en</w:t>
            </w:r>
            <w:r>
              <w:rPr>
                <w:rFonts w:ascii="Twentieth Century" w:eastAsia="Twentieth Century" w:hAnsi="Twentieth Century" w:cs="Twentieth Century"/>
                <w:sz w:val="24"/>
                <w:szCs w:val="24"/>
              </w:rPr>
              <w:t>suring that tax obligations are duly met.</w:t>
            </w:r>
          </w:p>
          <w:p w14:paraId="61BCD58C" w14:textId="77777777" w:rsidR="000C2081" w:rsidRDefault="000C2081">
            <w:pPr>
              <w:spacing w:line="259" w:lineRule="auto"/>
              <w:jc w:val="both"/>
              <w:rPr>
                <w:rFonts w:ascii="Twentieth Century" w:eastAsia="Twentieth Century" w:hAnsi="Twentieth Century" w:cs="Twentieth Century"/>
                <w:sz w:val="24"/>
                <w:szCs w:val="24"/>
              </w:rPr>
            </w:pPr>
          </w:p>
          <w:p w14:paraId="24594536" w14:textId="77777777" w:rsidR="000C2081" w:rsidRDefault="006F191C">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t xml:space="preserve">  </w:t>
            </w:r>
          </w:p>
          <w:p w14:paraId="0FC0EAEF" w14:textId="77777777" w:rsidR="000C2081" w:rsidRDefault="006F191C">
            <w:pPr>
              <w:numPr>
                <w:ilvl w:val="0"/>
                <w:numId w:val="2"/>
              </w:numPr>
              <w:spacing w:line="259" w:lineRule="auto"/>
              <w:jc w:val="both"/>
              <w:rPr>
                <w:rFonts w:ascii="Times New Roman" w:eastAsia="Times New Roman" w:hAnsi="Times New Roman" w:cs="Times New Roman"/>
                <w:b/>
                <w:bCs/>
                <w:sz w:val="24"/>
                <w:szCs w:val="24"/>
              </w:rPr>
            </w:pPr>
            <w:r>
              <w:rPr>
                <w:rFonts w:ascii="Twentieth Century" w:eastAsia="Twentieth Century" w:hAnsi="Twentieth Century" w:cs="Twentieth Century"/>
                <w:b/>
                <w:bCs/>
                <w:sz w:val="24"/>
                <w:szCs w:val="24"/>
              </w:rPr>
              <w:t>NEXT STEPS</w:t>
            </w:r>
          </w:p>
          <w:p w14:paraId="77017CC8" w14:textId="77777777" w:rsidR="000C2081" w:rsidRDefault="000C2081">
            <w:pPr>
              <w:spacing w:line="259" w:lineRule="auto"/>
              <w:ind w:left="495"/>
              <w:jc w:val="both"/>
              <w:rPr>
                <w:rFonts w:ascii="Twentieth Century" w:eastAsia="Twentieth Century" w:hAnsi="Twentieth Century" w:cs="Twentieth Century"/>
                <w:b/>
                <w:bCs/>
                <w:sz w:val="24"/>
                <w:szCs w:val="24"/>
              </w:rPr>
            </w:pPr>
          </w:p>
          <w:p w14:paraId="0F1CFA12" w14:textId="6BE4EB8E" w:rsidR="000C2081" w:rsidRDefault="006F191C">
            <w:pPr>
              <w:spacing w:line="259"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sz w:val="24"/>
                <w:szCs w:val="24"/>
              </w:rPr>
              <w:t xml:space="preserve">In his closing remarks, </w:t>
            </w:r>
            <w:proofErr w:type="spellStart"/>
            <w:r>
              <w:rPr>
                <w:rFonts w:ascii="Twentieth Century" w:eastAsia="Twentieth Century" w:hAnsi="Twentieth Century" w:cs="Twentieth Century"/>
                <w:b/>
                <w:bCs/>
                <w:sz w:val="24"/>
                <w:szCs w:val="24"/>
              </w:rPr>
              <w:t>Oke</w:t>
            </w:r>
            <w:proofErr w:type="spellEnd"/>
            <w:r>
              <w:rPr>
                <w:rFonts w:ascii="Twentieth Century" w:eastAsia="Twentieth Century" w:hAnsi="Twentieth Century" w:cs="Twentieth Century"/>
                <w:b/>
                <w:bCs/>
                <w:sz w:val="24"/>
                <w:szCs w:val="24"/>
              </w:rPr>
              <w:t xml:space="preserve"> </w:t>
            </w:r>
            <w:proofErr w:type="spellStart"/>
            <w:r>
              <w:rPr>
                <w:rFonts w:ascii="Twentieth Century" w:eastAsia="Twentieth Century" w:hAnsi="Twentieth Century" w:cs="Twentieth Century"/>
                <w:b/>
                <w:bCs/>
                <w:sz w:val="24"/>
                <w:szCs w:val="24"/>
              </w:rPr>
              <w:t>Epia</w:t>
            </w:r>
            <w:proofErr w:type="spellEnd"/>
            <w:r>
              <w:rPr>
                <w:rFonts w:ascii="Twentieth Century" w:eastAsia="Twentieth Century" w:hAnsi="Twentieth Century" w:cs="Twentieth Century"/>
                <w:sz w:val="24"/>
                <w:szCs w:val="24"/>
              </w:rPr>
              <w:t xml:space="preserve"> reiterated the importance of tax and fiscal reforms in shaping Nigeria’s economic trajectory. He outlined plans for the 2025 </w:t>
            </w:r>
            <w:proofErr w:type="spellStart"/>
            <w:r>
              <w:rPr>
                <w:rFonts w:ascii="Twentieth Century" w:eastAsia="Twentieth Century" w:hAnsi="Twentieth Century" w:cs="Twentieth Century"/>
                <w:sz w:val="24"/>
                <w:szCs w:val="24"/>
              </w:rPr>
              <w:t>Rembinar</w:t>
            </w:r>
            <w:proofErr w:type="spellEnd"/>
            <w:r>
              <w:rPr>
                <w:rFonts w:ascii="Twentieth Century" w:eastAsia="Twentieth Century" w:hAnsi="Twentieth Century" w:cs="Twentieth Century"/>
                <w:sz w:val="24"/>
                <w:szCs w:val="24"/>
              </w:rPr>
              <w:t xml:space="preserve"> Dialogue Series, which will feature </w:t>
            </w:r>
            <w:r w:rsidR="00941501">
              <w:rPr>
                <w:rFonts w:ascii="Twentieth Century" w:eastAsia="Twentieth Century" w:hAnsi="Twentieth Century" w:cs="Twentieth Century"/>
                <w:sz w:val="24"/>
                <w:szCs w:val="24"/>
              </w:rPr>
              <w:t>five</w:t>
            </w:r>
            <w:r>
              <w:rPr>
                <w:rFonts w:ascii="Twentieth Century" w:eastAsia="Twentieth Century" w:hAnsi="Twentieth Century" w:cs="Twentieth Century"/>
                <w:sz w:val="24"/>
                <w:szCs w:val="24"/>
              </w:rPr>
              <w:t xml:space="preserve"> sessions covering various aspects of tax reforms, resource governance, energy tr</w:t>
            </w:r>
            <w:r>
              <w:rPr>
                <w:rFonts w:ascii="Twentieth Century" w:eastAsia="Twentieth Century" w:hAnsi="Twentieth Century" w:cs="Twentieth Century"/>
                <w:sz w:val="24"/>
                <w:szCs w:val="24"/>
              </w:rPr>
              <w:t>ansition, climate change, and the implementation of EITI standards. The overarching goal of the series is to enhance public awareness and stakeholder engagement in shaping Nigeria’s fiscal landscape. He stated that the outcomes of the series will be commun</w:t>
            </w:r>
            <w:r>
              <w:rPr>
                <w:rFonts w:ascii="Twentieth Century" w:eastAsia="Twentieth Century" w:hAnsi="Twentieth Century" w:cs="Twentieth Century"/>
                <w:sz w:val="24"/>
                <w:szCs w:val="24"/>
              </w:rPr>
              <w:t xml:space="preserve">icated to the legislature and other critical stakeholders in the policy ecosystem of the country. He also reaffirmed </w:t>
            </w:r>
            <w:proofErr w:type="spellStart"/>
            <w:r>
              <w:rPr>
                <w:rFonts w:ascii="Twentieth Century" w:eastAsia="Twentieth Century" w:hAnsi="Twentieth Century" w:cs="Twentieth Century"/>
                <w:sz w:val="24"/>
                <w:szCs w:val="24"/>
              </w:rPr>
              <w:t>OrderPaper’s</w:t>
            </w:r>
            <w:proofErr w:type="spellEnd"/>
            <w:r>
              <w:rPr>
                <w:rFonts w:ascii="Twentieth Century" w:eastAsia="Twentieth Century" w:hAnsi="Twentieth Century" w:cs="Twentieth Century"/>
                <w:sz w:val="24"/>
                <w:szCs w:val="24"/>
              </w:rPr>
              <w:t xml:space="preserve"> commitment to leveraging technology and data to bridge the gap between citizens, policymakers, and parliament, with a particul</w:t>
            </w:r>
            <w:r>
              <w:rPr>
                <w:rFonts w:ascii="Twentieth Century" w:eastAsia="Twentieth Century" w:hAnsi="Twentieth Century" w:cs="Twentieth Century"/>
                <w:sz w:val="24"/>
                <w:szCs w:val="24"/>
              </w:rPr>
              <w:t>ar focus on tax and fiscal policies.</w:t>
            </w:r>
          </w:p>
          <w:p w14:paraId="65B2504A" w14:textId="77777777" w:rsidR="000C2081" w:rsidRDefault="000C2081">
            <w:pPr>
              <w:spacing w:line="259" w:lineRule="auto"/>
              <w:jc w:val="both"/>
              <w:rPr>
                <w:rFonts w:ascii="Twentieth Century" w:eastAsia="Twentieth Century" w:hAnsi="Twentieth Century" w:cs="Twentieth Century"/>
                <w:sz w:val="24"/>
                <w:szCs w:val="24"/>
              </w:rPr>
            </w:pPr>
          </w:p>
          <w:p w14:paraId="04BF193A" w14:textId="77777777" w:rsidR="000C2081" w:rsidRDefault="000C2081">
            <w:pPr>
              <w:spacing w:line="259" w:lineRule="auto"/>
              <w:jc w:val="both"/>
              <w:rPr>
                <w:rFonts w:ascii="Twentieth Century" w:eastAsia="Twentieth Century" w:hAnsi="Twentieth Century" w:cs="Twentieth Century"/>
                <w:sz w:val="24"/>
                <w:szCs w:val="24"/>
              </w:rPr>
            </w:pPr>
          </w:p>
          <w:p w14:paraId="32378097" w14:textId="77777777" w:rsidR="000C2081" w:rsidRDefault="006F191C">
            <w:pPr>
              <w:numPr>
                <w:ilvl w:val="0"/>
                <w:numId w:val="2"/>
              </w:numPr>
              <w:spacing w:line="259" w:lineRule="auto"/>
              <w:jc w:val="both"/>
              <w:rPr>
                <w:rFonts w:ascii="Times New Roman" w:eastAsia="Times New Roman" w:hAnsi="Times New Roman" w:cs="Times New Roman"/>
                <w:b/>
                <w:bCs/>
                <w:sz w:val="24"/>
                <w:szCs w:val="24"/>
              </w:rPr>
            </w:pPr>
            <w:r>
              <w:rPr>
                <w:rFonts w:ascii="Twentieth Century" w:eastAsia="Twentieth Century" w:hAnsi="Twentieth Century" w:cs="Twentieth Century"/>
                <w:b/>
                <w:bCs/>
                <w:sz w:val="24"/>
                <w:szCs w:val="24"/>
              </w:rPr>
              <w:t>CLOSING</w:t>
            </w:r>
          </w:p>
          <w:p w14:paraId="164CF561" w14:textId="77777777" w:rsidR="000C2081" w:rsidRDefault="006F191C">
            <w:pPr>
              <w:spacing w:after="160" w:line="259" w:lineRule="auto"/>
              <w:ind w:left="495"/>
              <w:jc w:val="both"/>
              <w:rPr>
                <w:rFonts w:ascii="Twentieth Century" w:eastAsia="Twentieth Century" w:hAnsi="Twentieth Century" w:cs="Twentieth Century"/>
              </w:rPr>
            </w:pPr>
            <w:r>
              <w:rPr>
                <w:rFonts w:ascii="Twentieth Century" w:eastAsia="Twentieth Century" w:hAnsi="Twentieth Century" w:cs="Twentieth Century"/>
              </w:rPr>
              <w:t>The dialogue ended at about 12:35 pm</w:t>
            </w:r>
          </w:p>
          <w:p w14:paraId="216E3985" w14:textId="77777777" w:rsidR="000C2081" w:rsidRDefault="000C2081">
            <w:pPr>
              <w:spacing w:line="259" w:lineRule="auto"/>
              <w:ind w:left="495"/>
              <w:jc w:val="both"/>
              <w:rPr>
                <w:rFonts w:ascii="Twentieth Century" w:eastAsia="Twentieth Century" w:hAnsi="Twentieth Century" w:cs="Twentieth Century"/>
                <w:b/>
                <w:bCs/>
                <w:sz w:val="24"/>
                <w:szCs w:val="24"/>
              </w:rPr>
            </w:pPr>
          </w:p>
          <w:p w14:paraId="1CA16E66" w14:textId="77777777" w:rsidR="000C2081" w:rsidRDefault="006F191C">
            <w:pPr>
              <w:numPr>
                <w:ilvl w:val="0"/>
                <w:numId w:val="2"/>
              </w:numPr>
              <w:spacing w:line="259" w:lineRule="auto"/>
              <w:jc w:val="both"/>
              <w:rPr>
                <w:rFonts w:ascii="Times New Roman" w:eastAsia="Times New Roman" w:hAnsi="Times New Roman" w:cs="Times New Roman"/>
                <w:b/>
                <w:bCs/>
                <w:sz w:val="24"/>
                <w:szCs w:val="24"/>
              </w:rPr>
            </w:pPr>
            <w:r>
              <w:rPr>
                <w:rFonts w:ascii="Twentieth Century" w:eastAsia="Twentieth Century" w:hAnsi="Twentieth Century" w:cs="Twentieth Century"/>
                <w:b/>
                <w:bCs/>
                <w:sz w:val="24"/>
                <w:szCs w:val="24"/>
              </w:rPr>
              <w:t xml:space="preserve">SUPPORTING DOCUMENTS </w:t>
            </w:r>
          </w:p>
          <w:p w14:paraId="56AEDCD2" w14:textId="77777777" w:rsidR="000C2081" w:rsidRDefault="000C2081">
            <w:pPr>
              <w:spacing w:line="259" w:lineRule="auto"/>
              <w:jc w:val="both"/>
              <w:rPr>
                <w:rFonts w:ascii="Twentieth Century" w:eastAsia="Twentieth Century" w:hAnsi="Twentieth Century" w:cs="Twentieth Century"/>
                <w:b/>
                <w:bCs/>
                <w:sz w:val="24"/>
                <w:szCs w:val="24"/>
              </w:rPr>
            </w:pPr>
          </w:p>
          <w:bookmarkStart w:id="0" w:name="_Hlk233398603"/>
          <w:p w14:paraId="0D5A3571" w14:textId="77777777" w:rsidR="000C2081" w:rsidRDefault="006F191C">
            <w:pPr>
              <w:spacing w:line="259" w:lineRule="auto"/>
              <w:jc w:val="both"/>
              <w:rPr>
                <w:rFonts w:ascii="Twentieth Century" w:eastAsia="Twentieth Century" w:hAnsi="Twentieth Century" w:cs="Twentieth Century"/>
                <w:b/>
                <w:bCs/>
                <w:sz w:val="24"/>
                <w:szCs w:val="24"/>
              </w:rPr>
            </w:pPr>
            <w:r>
              <w:fldChar w:fldCharType="begin"/>
            </w:r>
            <w:r>
              <w:instrText xml:space="preserve"> HYPERLINK "https://us06web.zoom.us/rec/share/aRBVHujUlawDb-4aRXkIIEPdXbB3TG-1wTdWq5PFxYG7DUJTqo_k7Ns2l_G8heZW.WENJQTae07r1_5zf?startTime=1740996</w:instrText>
            </w:r>
            <w:r>
              <w:instrText xml:space="preserve">058000" \h </w:instrText>
            </w:r>
            <w:r>
              <w:fldChar w:fldCharType="separate"/>
            </w:r>
            <w:r>
              <w:rPr>
                <w:rFonts w:ascii="Twentieth Century" w:eastAsia="Twentieth Century" w:hAnsi="Twentieth Century" w:cs="Twentieth Century"/>
                <w:b/>
                <w:bCs/>
                <w:color w:val="1155CC"/>
                <w:sz w:val="24"/>
                <w:szCs w:val="24"/>
                <w:u w:val="single"/>
              </w:rPr>
              <w:t>https://us06web.zoom.us/rec/share/aRBVHujUlawDb-4aRXkIIEPdXbB3TG-1wTdWq5PFxYG7DUJTqo_k7Ns2l_G8heZW.WENJQTae07r1_5zf?startTime=1740996058000</w:t>
            </w:r>
            <w:r>
              <w:rPr>
                <w:rFonts w:ascii="Twentieth Century" w:eastAsia="Twentieth Century" w:hAnsi="Twentieth Century" w:cs="Twentieth Century"/>
                <w:b/>
                <w:bCs/>
                <w:color w:val="1155CC"/>
                <w:sz w:val="24"/>
                <w:szCs w:val="24"/>
                <w:u w:val="single"/>
              </w:rPr>
              <w:fldChar w:fldCharType="end"/>
            </w:r>
          </w:p>
          <w:p w14:paraId="58C0D8A9" w14:textId="77777777" w:rsidR="000C2081" w:rsidRDefault="000C2081">
            <w:pPr>
              <w:spacing w:line="259" w:lineRule="auto"/>
              <w:jc w:val="both"/>
              <w:rPr>
                <w:rFonts w:ascii="Twentieth Century" w:eastAsia="Twentieth Century" w:hAnsi="Twentieth Century" w:cs="Twentieth Century"/>
                <w:b/>
                <w:bCs/>
                <w:sz w:val="24"/>
                <w:szCs w:val="24"/>
              </w:rPr>
            </w:pPr>
          </w:p>
          <w:p w14:paraId="7944B677" w14:textId="77777777" w:rsidR="000C2081" w:rsidRDefault="000C2081">
            <w:pPr>
              <w:spacing w:line="259" w:lineRule="auto"/>
              <w:jc w:val="both"/>
              <w:rPr>
                <w:rFonts w:ascii="Twentieth Century" w:eastAsia="Twentieth Century" w:hAnsi="Twentieth Century" w:cs="Twentieth Century"/>
                <w:b/>
                <w:bCs/>
                <w:sz w:val="24"/>
                <w:szCs w:val="24"/>
              </w:rPr>
            </w:pPr>
          </w:p>
          <w:p w14:paraId="5C18E2B9" w14:textId="77777777" w:rsidR="000C2081" w:rsidRDefault="000C2081">
            <w:pPr>
              <w:spacing w:line="259" w:lineRule="auto"/>
              <w:jc w:val="both"/>
              <w:rPr>
                <w:rFonts w:ascii="Twentieth Century" w:eastAsia="Twentieth Century" w:hAnsi="Twentieth Century" w:cs="Twentieth Century"/>
                <w:b/>
                <w:bCs/>
                <w:sz w:val="24"/>
                <w:szCs w:val="24"/>
              </w:rPr>
            </w:pPr>
          </w:p>
          <w:p w14:paraId="41BEB7D6" w14:textId="77777777" w:rsidR="000C2081" w:rsidRDefault="006F191C">
            <w:pPr>
              <w:spacing w:line="259" w:lineRule="auto"/>
              <w:jc w:val="both"/>
              <w:rPr>
                <w:rFonts w:ascii="Twentieth Century" w:eastAsia="Twentieth Century" w:hAnsi="Twentieth Century" w:cs="Twentieth Century"/>
                <w:b/>
                <w:bCs/>
                <w:sz w:val="24"/>
                <w:szCs w:val="24"/>
              </w:rPr>
            </w:pPr>
            <w:hyperlink r:id="rId7">
              <w:r>
                <w:rPr>
                  <w:rFonts w:ascii="Twentieth Century" w:eastAsia="Twentieth Century" w:hAnsi="Twentieth Century" w:cs="Twentieth Century"/>
                  <w:b/>
                  <w:bCs/>
                  <w:color w:val="1155CC"/>
                  <w:sz w:val="24"/>
                  <w:szCs w:val="24"/>
                  <w:u w:val="single"/>
                </w:rPr>
                <w:t>https://www.thisdaylive.com/index.php/2025/03/04/neiti-orderpaper-experts-brainstorm-on-fgs-new-tax-reform-bills/</w:t>
              </w:r>
            </w:hyperlink>
          </w:p>
          <w:p w14:paraId="4C9F6468" w14:textId="77777777" w:rsidR="000C2081" w:rsidRDefault="006F191C">
            <w:pPr>
              <w:spacing w:line="259" w:lineRule="auto"/>
              <w:jc w:val="both"/>
              <w:rPr>
                <w:rFonts w:ascii="Twentieth Century" w:eastAsia="Twentieth Century" w:hAnsi="Twentieth Century" w:cs="Twentieth Century"/>
                <w:b/>
                <w:bCs/>
                <w:sz w:val="24"/>
                <w:szCs w:val="24"/>
              </w:rPr>
            </w:pPr>
            <w:r>
              <w:rPr>
                <w:rFonts w:ascii="Twentieth Century" w:eastAsia="Twentieth Century" w:hAnsi="Twentieth Century" w:cs="Twentieth Century"/>
                <w:b/>
                <w:bCs/>
                <w:sz w:val="24"/>
                <w:szCs w:val="24"/>
              </w:rPr>
              <w:t xml:space="preserve"> </w:t>
            </w:r>
            <w:hyperlink r:id="rId8">
              <w:r>
                <w:rPr>
                  <w:rFonts w:ascii="Twentieth Century" w:eastAsia="Twentieth Century" w:hAnsi="Twentieth Century" w:cs="Twentieth Century"/>
                  <w:b/>
                  <w:bCs/>
                  <w:color w:val="1155CC"/>
                  <w:sz w:val="24"/>
                  <w:szCs w:val="24"/>
                  <w:u w:val="single"/>
                </w:rPr>
                <w:t>https://www.thecable.ng/neiti-backs-tax-reform-bills-says-theyll-boost-compliance-in-extractive-sector/</w:t>
              </w:r>
            </w:hyperlink>
          </w:p>
          <w:p w14:paraId="19DBD78E" w14:textId="77777777" w:rsidR="000C2081" w:rsidRDefault="000C2081">
            <w:pPr>
              <w:spacing w:line="259" w:lineRule="auto"/>
              <w:jc w:val="both"/>
              <w:rPr>
                <w:rFonts w:ascii="Twentieth Century" w:eastAsia="Twentieth Century" w:hAnsi="Twentieth Century" w:cs="Twentieth Century"/>
                <w:b/>
                <w:bCs/>
                <w:sz w:val="24"/>
                <w:szCs w:val="24"/>
              </w:rPr>
            </w:pPr>
          </w:p>
          <w:p w14:paraId="21E91A09" w14:textId="77777777" w:rsidR="000C2081" w:rsidRDefault="006F191C">
            <w:pPr>
              <w:spacing w:line="259" w:lineRule="auto"/>
              <w:jc w:val="both"/>
              <w:rPr>
                <w:rFonts w:ascii="Twentieth Century" w:eastAsia="Twentieth Century" w:hAnsi="Twentieth Century" w:cs="Twentieth Century"/>
                <w:b/>
                <w:bCs/>
                <w:sz w:val="24"/>
                <w:szCs w:val="24"/>
              </w:rPr>
            </w:pPr>
            <w:hyperlink r:id="rId9">
              <w:r>
                <w:rPr>
                  <w:rFonts w:ascii="Twentieth Century" w:eastAsia="Twentieth Century" w:hAnsi="Twentieth Century" w:cs="Twentieth Century"/>
                  <w:b/>
                  <w:bCs/>
                  <w:color w:val="1155CC"/>
                  <w:sz w:val="24"/>
                  <w:szCs w:val="24"/>
                  <w:u w:val="single"/>
                </w:rPr>
                <w:t>https://www.channelstv.com/</w:t>
              </w:r>
              <w:r>
                <w:rPr>
                  <w:rFonts w:ascii="Twentieth Century" w:eastAsia="Twentieth Century" w:hAnsi="Twentieth Century" w:cs="Twentieth Century"/>
                  <w:b/>
                  <w:bCs/>
                  <w:color w:val="1155CC"/>
                  <w:sz w:val="24"/>
                  <w:szCs w:val="24"/>
                  <w:u w:val="single"/>
                </w:rPr>
                <w:t>2025/03/04/neiti-pledges-technical-support-for-tax-reform-bill/</w:t>
              </w:r>
            </w:hyperlink>
          </w:p>
          <w:p w14:paraId="06988EA2" w14:textId="77777777" w:rsidR="000C2081" w:rsidRDefault="000C2081">
            <w:pPr>
              <w:spacing w:line="259" w:lineRule="auto"/>
              <w:jc w:val="both"/>
              <w:rPr>
                <w:rFonts w:ascii="Twentieth Century" w:eastAsia="Twentieth Century" w:hAnsi="Twentieth Century" w:cs="Twentieth Century"/>
                <w:b/>
                <w:bCs/>
                <w:sz w:val="24"/>
                <w:szCs w:val="24"/>
              </w:rPr>
            </w:pPr>
          </w:p>
          <w:p w14:paraId="25A49BA5" w14:textId="77777777" w:rsidR="000C2081" w:rsidRDefault="006F191C">
            <w:pPr>
              <w:spacing w:line="259" w:lineRule="auto"/>
              <w:jc w:val="both"/>
              <w:rPr>
                <w:rFonts w:ascii="Twentieth Century" w:eastAsia="Twentieth Century" w:hAnsi="Twentieth Century" w:cs="Twentieth Century"/>
                <w:b/>
                <w:bCs/>
                <w:sz w:val="24"/>
                <w:szCs w:val="24"/>
              </w:rPr>
            </w:pPr>
            <w:hyperlink r:id="rId10">
              <w:r>
                <w:rPr>
                  <w:rFonts w:ascii="Twentieth Century" w:eastAsia="Twentieth Century" w:hAnsi="Twentieth Century" w:cs="Twentieth Century"/>
                  <w:b/>
                  <w:bCs/>
                  <w:color w:val="1155CC"/>
                  <w:sz w:val="24"/>
                  <w:szCs w:val="24"/>
                  <w:u w:val="single"/>
                </w:rPr>
                <w:t>https://insidebusiness.ng/227872/neiti-orderpaper-begin-dial</w:t>
              </w:r>
              <w:r>
                <w:rPr>
                  <w:rFonts w:ascii="Twentieth Century" w:eastAsia="Twentieth Century" w:hAnsi="Twentieth Century" w:cs="Twentieth Century"/>
                  <w:b/>
                  <w:bCs/>
                  <w:color w:val="1155CC"/>
                  <w:sz w:val="24"/>
                  <w:szCs w:val="24"/>
                  <w:u w:val="single"/>
                </w:rPr>
                <w:t>ogue-on-tax-reforms-extractive-sector-transparency/</w:t>
              </w:r>
            </w:hyperlink>
          </w:p>
          <w:p w14:paraId="36F3C4A9" w14:textId="77777777" w:rsidR="000C2081" w:rsidRDefault="000C2081">
            <w:pPr>
              <w:spacing w:line="259" w:lineRule="auto"/>
              <w:jc w:val="both"/>
              <w:rPr>
                <w:rFonts w:ascii="Twentieth Century" w:eastAsia="Twentieth Century" w:hAnsi="Twentieth Century" w:cs="Twentieth Century"/>
                <w:b/>
                <w:bCs/>
                <w:sz w:val="24"/>
                <w:szCs w:val="24"/>
              </w:rPr>
            </w:pPr>
          </w:p>
          <w:p w14:paraId="40CC5851" w14:textId="77777777" w:rsidR="000C2081" w:rsidRDefault="006F191C">
            <w:pPr>
              <w:spacing w:line="259" w:lineRule="auto"/>
              <w:jc w:val="both"/>
              <w:rPr>
                <w:rFonts w:ascii="Twentieth Century" w:eastAsia="Twentieth Century" w:hAnsi="Twentieth Century" w:cs="Twentieth Century"/>
                <w:b/>
                <w:bCs/>
                <w:sz w:val="24"/>
                <w:szCs w:val="24"/>
              </w:rPr>
            </w:pPr>
            <w:hyperlink r:id="rId11">
              <w:r>
                <w:rPr>
                  <w:rFonts w:ascii="Twentieth Century" w:eastAsia="Twentieth Century" w:hAnsi="Twentieth Century" w:cs="Twentieth Century"/>
                  <w:b/>
                  <w:bCs/>
                  <w:color w:val="1155CC"/>
                  <w:sz w:val="24"/>
                  <w:szCs w:val="24"/>
                  <w:u w:val="single"/>
                </w:rPr>
                <w:t>https://nairametrics.com/2025/03/04/neiti-pledges-technical-support-for-2024-tax-reform-bill/</w:t>
              </w:r>
            </w:hyperlink>
          </w:p>
          <w:p w14:paraId="7A64FBDB" w14:textId="77777777" w:rsidR="000C2081" w:rsidRDefault="006F191C">
            <w:pPr>
              <w:spacing w:line="259" w:lineRule="auto"/>
              <w:jc w:val="both"/>
              <w:rPr>
                <w:rFonts w:ascii="Twentieth Century" w:eastAsia="Twentieth Century" w:hAnsi="Twentieth Century" w:cs="Twentieth Century"/>
                <w:b/>
                <w:bCs/>
                <w:sz w:val="24"/>
                <w:szCs w:val="24"/>
              </w:rPr>
            </w:pPr>
            <w:r>
              <w:rPr>
                <w:rFonts w:ascii="Twentieth Century" w:eastAsia="Twentieth Century" w:hAnsi="Twentieth Century" w:cs="Twentieth Century"/>
                <w:b/>
                <w:bCs/>
                <w:sz w:val="24"/>
                <w:szCs w:val="24"/>
              </w:rPr>
              <w:t xml:space="preserve"> </w:t>
            </w:r>
            <w:hyperlink r:id="rId12">
              <w:r>
                <w:rPr>
                  <w:rFonts w:ascii="Twentieth Century" w:eastAsia="Twentieth Century" w:hAnsi="Twentieth Century" w:cs="Twentieth Century"/>
                  <w:b/>
                  <w:bCs/>
                  <w:color w:val="1155CC"/>
                  <w:sz w:val="24"/>
                  <w:szCs w:val="24"/>
                  <w:u w:val="single"/>
                </w:rPr>
                <w:t>https://www.vanguardngr.com/2025/03/oil-gas-neiti-stakeholders-back-fgs-tax-reform-bills/</w:t>
              </w:r>
            </w:hyperlink>
          </w:p>
          <w:p w14:paraId="0F1EF7FF" w14:textId="77777777" w:rsidR="000C2081" w:rsidRDefault="006F191C">
            <w:pPr>
              <w:spacing w:line="259" w:lineRule="auto"/>
              <w:jc w:val="both"/>
              <w:rPr>
                <w:rFonts w:ascii="Twentieth Century" w:eastAsia="Twentieth Century" w:hAnsi="Twentieth Century" w:cs="Twentieth Century"/>
                <w:b/>
                <w:bCs/>
                <w:sz w:val="24"/>
                <w:szCs w:val="24"/>
              </w:rPr>
            </w:pPr>
            <w:r>
              <w:rPr>
                <w:rFonts w:ascii="Twentieth Century" w:eastAsia="Twentieth Century" w:hAnsi="Twentieth Century" w:cs="Twentieth Century"/>
                <w:b/>
                <w:bCs/>
                <w:sz w:val="24"/>
                <w:szCs w:val="24"/>
              </w:rPr>
              <w:t xml:space="preserve"> </w:t>
            </w:r>
            <w:hyperlink r:id="rId13">
              <w:r>
                <w:rPr>
                  <w:rFonts w:ascii="Twentieth Century" w:eastAsia="Twentieth Century" w:hAnsi="Twentieth Century" w:cs="Twentieth Century"/>
                  <w:b/>
                  <w:bCs/>
                  <w:color w:val="1155CC"/>
                  <w:sz w:val="24"/>
                  <w:szCs w:val="24"/>
                  <w:u w:val="single"/>
                </w:rPr>
                <w:t>https://extractive360.com/2025/03/05/neiti-stakeholders-amplify-support-for-tax-reforms-bills/</w:t>
              </w:r>
            </w:hyperlink>
          </w:p>
          <w:p w14:paraId="321CB9CB" w14:textId="77777777" w:rsidR="000C2081" w:rsidRDefault="000C2081">
            <w:pPr>
              <w:spacing w:line="259" w:lineRule="auto"/>
              <w:jc w:val="both"/>
              <w:rPr>
                <w:rFonts w:ascii="Twentieth Century" w:eastAsia="Twentieth Century" w:hAnsi="Twentieth Century" w:cs="Twentieth Century"/>
                <w:b/>
                <w:bCs/>
                <w:sz w:val="24"/>
                <w:szCs w:val="24"/>
              </w:rPr>
            </w:pPr>
          </w:p>
          <w:p w14:paraId="13107784" w14:textId="77777777" w:rsidR="000C2081" w:rsidRDefault="006F191C">
            <w:pPr>
              <w:spacing w:line="259" w:lineRule="auto"/>
              <w:jc w:val="both"/>
              <w:rPr>
                <w:rFonts w:ascii="Twentieth Century" w:eastAsia="Twentieth Century" w:hAnsi="Twentieth Century" w:cs="Twentieth Century"/>
                <w:b/>
                <w:bCs/>
                <w:sz w:val="24"/>
                <w:szCs w:val="24"/>
              </w:rPr>
            </w:pPr>
            <w:hyperlink r:id="rId14">
              <w:r>
                <w:rPr>
                  <w:rFonts w:ascii="Twentieth Century" w:eastAsia="Twentieth Century" w:hAnsi="Twentieth Century" w:cs="Twentieth Century"/>
                  <w:b/>
                  <w:bCs/>
                  <w:color w:val="1155CC"/>
                  <w:sz w:val="24"/>
                  <w:szCs w:val="24"/>
                  <w:u w:val="single"/>
                </w:rPr>
                <w:t>https://extractive360.com/2025/03/05/neiti-stakeholders-amplify-support-for-tax-reforms-bills/</w:t>
              </w:r>
            </w:hyperlink>
          </w:p>
          <w:p w14:paraId="79C5C377" w14:textId="77777777" w:rsidR="000C2081" w:rsidRDefault="000C2081">
            <w:pPr>
              <w:spacing w:line="259" w:lineRule="auto"/>
              <w:jc w:val="both"/>
              <w:rPr>
                <w:rFonts w:ascii="Twentieth Century" w:eastAsia="Twentieth Century" w:hAnsi="Twentieth Century" w:cs="Twentieth Century"/>
                <w:b/>
                <w:bCs/>
                <w:sz w:val="24"/>
                <w:szCs w:val="24"/>
              </w:rPr>
            </w:pPr>
          </w:p>
          <w:p w14:paraId="32E89522" w14:textId="77777777" w:rsidR="000C2081" w:rsidRDefault="006F191C">
            <w:pPr>
              <w:spacing w:line="259" w:lineRule="auto"/>
              <w:jc w:val="both"/>
              <w:rPr>
                <w:rFonts w:ascii="Twentieth Century" w:eastAsia="Twentieth Century" w:hAnsi="Twentieth Century" w:cs="Twentieth Century"/>
                <w:b/>
                <w:bCs/>
                <w:sz w:val="24"/>
                <w:szCs w:val="24"/>
              </w:rPr>
            </w:pPr>
            <w:hyperlink r:id="rId15">
              <w:r>
                <w:rPr>
                  <w:rFonts w:ascii="Twentieth Century" w:eastAsia="Twentieth Century" w:hAnsi="Twentieth Century" w:cs="Twentieth Century"/>
                  <w:b/>
                  <w:bCs/>
                  <w:color w:val="1155CC"/>
                  <w:sz w:val="24"/>
                  <w:szCs w:val="24"/>
                  <w:u w:val="single"/>
                </w:rPr>
                <w:t>https://newnationalstar.com/neiti-stakeholders-back-fgs-t</w:t>
              </w:r>
              <w:r>
                <w:rPr>
                  <w:rFonts w:ascii="Twentieth Century" w:eastAsia="Twentieth Century" w:hAnsi="Twentieth Century" w:cs="Twentieth Century"/>
                  <w:b/>
                  <w:bCs/>
                  <w:color w:val="1155CC"/>
                  <w:sz w:val="24"/>
                  <w:szCs w:val="24"/>
                  <w:u w:val="single"/>
                </w:rPr>
                <w:t>ax-reforms-bill/</w:t>
              </w:r>
            </w:hyperlink>
          </w:p>
          <w:p w14:paraId="1FADF838" w14:textId="77777777" w:rsidR="000C2081" w:rsidRDefault="000C2081">
            <w:pPr>
              <w:spacing w:line="259" w:lineRule="auto"/>
              <w:jc w:val="both"/>
              <w:rPr>
                <w:rFonts w:ascii="Twentieth Century" w:eastAsia="Twentieth Century" w:hAnsi="Twentieth Century" w:cs="Twentieth Century"/>
                <w:b/>
                <w:bCs/>
                <w:sz w:val="24"/>
                <w:szCs w:val="24"/>
              </w:rPr>
            </w:pPr>
          </w:p>
          <w:p w14:paraId="70183F07" w14:textId="77777777" w:rsidR="000C2081" w:rsidRDefault="006F191C">
            <w:pPr>
              <w:spacing w:line="259" w:lineRule="auto"/>
              <w:jc w:val="both"/>
              <w:rPr>
                <w:rFonts w:ascii="Twentieth Century" w:eastAsia="Twentieth Century" w:hAnsi="Twentieth Century" w:cs="Twentieth Century"/>
                <w:b/>
                <w:bCs/>
                <w:sz w:val="24"/>
                <w:szCs w:val="24"/>
              </w:rPr>
            </w:pPr>
            <w:hyperlink r:id="rId16">
              <w:r>
                <w:rPr>
                  <w:rFonts w:ascii="Twentieth Century" w:eastAsia="Twentieth Century" w:hAnsi="Twentieth Century" w:cs="Twentieth Century"/>
                  <w:b/>
                  <w:bCs/>
                  <w:color w:val="1155CC"/>
                  <w:sz w:val="24"/>
                  <w:szCs w:val="24"/>
                  <w:u w:val="single"/>
                </w:rPr>
                <w:t>https://newtelegraphng.com/neiti-to-support-tax-reform-bill-with-technical-inputs-data/</w:t>
              </w:r>
            </w:hyperlink>
          </w:p>
          <w:p w14:paraId="6D36E2B5" w14:textId="77777777" w:rsidR="000C2081" w:rsidRDefault="000C2081">
            <w:pPr>
              <w:spacing w:line="259" w:lineRule="auto"/>
              <w:jc w:val="both"/>
              <w:rPr>
                <w:rFonts w:ascii="Twentieth Century" w:eastAsia="Twentieth Century" w:hAnsi="Twentieth Century" w:cs="Twentieth Century"/>
                <w:b/>
                <w:bCs/>
                <w:sz w:val="24"/>
                <w:szCs w:val="24"/>
              </w:rPr>
            </w:pPr>
          </w:p>
          <w:p w14:paraId="6DA41AA2" w14:textId="77777777" w:rsidR="000C2081" w:rsidRDefault="006F191C">
            <w:pPr>
              <w:spacing w:line="259" w:lineRule="auto"/>
              <w:jc w:val="both"/>
              <w:rPr>
                <w:rFonts w:ascii="Twentieth Century" w:eastAsia="Twentieth Century" w:hAnsi="Twentieth Century" w:cs="Twentieth Century"/>
                <w:b/>
                <w:bCs/>
                <w:sz w:val="24"/>
                <w:szCs w:val="24"/>
              </w:rPr>
            </w:pPr>
            <w:hyperlink r:id="rId17">
              <w:r>
                <w:rPr>
                  <w:rFonts w:ascii="Twentieth Century" w:eastAsia="Twentieth Century" w:hAnsi="Twentieth Century" w:cs="Twentieth Century"/>
                  <w:b/>
                  <w:bCs/>
                  <w:color w:val="1155CC"/>
                  <w:sz w:val="24"/>
                  <w:szCs w:val="24"/>
                  <w:u w:val="single"/>
                </w:rPr>
                <w:t>https://newtelegraphng.com/tax-reform-bills-why-fg-should-look-at-critical-stakeholders-inputs-epia/</w:t>
              </w:r>
            </w:hyperlink>
          </w:p>
          <w:p w14:paraId="4B9EB3CF" w14:textId="77777777" w:rsidR="000C2081" w:rsidRDefault="000C2081">
            <w:pPr>
              <w:spacing w:line="259" w:lineRule="auto"/>
              <w:jc w:val="both"/>
              <w:rPr>
                <w:rFonts w:ascii="Twentieth Century" w:eastAsia="Twentieth Century" w:hAnsi="Twentieth Century" w:cs="Twentieth Century"/>
              </w:rPr>
            </w:pPr>
          </w:p>
          <w:p w14:paraId="2264E8E3" w14:textId="77777777" w:rsidR="000C2081" w:rsidRDefault="006F191C">
            <w:pPr>
              <w:spacing w:line="259" w:lineRule="auto"/>
              <w:jc w:val="both"/>
              <w:rPr>
                <w:rFonts w:ascii="Twentieth Century" w:eastAsia="Twentieth Century" w:hAnsi="Twentieth Century" w:cs="Twentieth Century"/>
                <w:b/>
                <w:bCs/>
              </w:rPr>
            </w:pPr>
            <w:hyperlink r:id="rId18">
              <w:r>
                <w:rPr>
                  <w:rFonts w:ascii="Twentieth Century" w:eastAsia="Twentieth Century" w:hAnsi="Twentieth Century" w:cs="Twentieth Century"/>
                  <w:b/>
                  <w:bCs/>
                  <w:color w:val="1155CC"/>
                  <w:u w:val="single"/>
                </w:rPr>
                <w:t>https://guardian.ng/business-services/business/neiti-others-drum-support-for-tax-reform-amidst-leakages-evasion/</w:t>
              </w:r>
            </w:hyperlink>
          </w:p>
          <w:bookmarkEnd w:id="0"/>
          <w:p w14:paraId="14471A65" w14:textId="77777777" w:rsidR="000C2081" w:rsidRDefault="000C2081">
            <w:pPr>
              <w:spacing w:line="259" w:lineRule="auto"/>
              <w:jc w:val="both"/>
              <w:rPr>
                <w:rFonts w:ascii="Twentieth Century" w:eastAsia="Twentieth Century" w:hAnsi="Twentieth Century" w:cs="Twentieth Century"/>
              </w:rPr>
            </w:pPr>
          </w:p>
        </w:tc>
      </w:tr>
    </w:tbl>
    <w:p w14:paraId="656F7180" w14:textId="77777777" w:rsidR="000C2081" w:rsidRDefault="000C2081">
      <w:pPr>
        <w:spacing w:after="160" w:line="259" w:lineRule="auto"/>
        <w:rPr>
          <w:rFonts w:ascii="Calibri" w:eastAsia="Calibri" w:hAnsi="Calibri" w:cs="Calibri"/>
        </w:rPr>
      </w:pPr>
      <w:bookmarkStart w:id="1" w:name="_30j0zll" w:colFirst="0" w:colLast="0"/>
      <w:bookmarkEnd w:id="1"/>
    </w:p>
    <w:p w14:paraId="7F621AE1" w14:textId="77777777" w:rsidR="000C2081" w:rsidRDefault="000C2081"/>
    <w:p w14:paraId="71AE32B4" w14:textId="77777777" w:rsidR="000C2081" w:rsidRDefault="000C2081"/>
    <w:sectPr w:rsidR="000C2081">
      <w:footerReference w:type="default" r:id="rId1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605E7" w14:textId="77777777" w:rsidR="006F191C" w:rsidRDefault="006F191C">
      <w:pPr>
        <w:spacing w:line="240" w:lineRule="auto"/>
      </w:pPr>
      <w:r>
        <w:separator/>
      </w:r>
    </w:p>
  </w:endnote>
  <w:endnote w:type="continuationSeparator" w:id="0">
    <w:p w14:paraId="034E6655" w14:textId="77777777" w:rsidR="006F191C" w:rsidRDefault="006F19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entieth Century">
    <w:altName w:val="Calibri"/>
    <w:charset w:val="00"/>
    <w:family w:val="auto"/>
    <w:pitch w:val="default"/>
  </w:font>
  <w:font w:name="Noto Sans Symbols">
    <w:charset w:val="00"/>
    <w:family w:val="auto"/>
    <w:pitch w:val="default"/>
    <w:embedRegular r:id="rId1" w:fontKey="{04110814-6647-4599-B5CC-F99241F5CCD3}"/>
  </w:font>
  <w:font w:name="Calibri">
    <w:panose1 w:val="020F0502020204030204"/>
    <w:charset w:val="00"/>
    <w:family w:val="swiss"/>
    <w:pitch w:val="variable"/>
    <w:sig w:usb0="E4002EFF" w:usb1="C200247B" w:usb2="00000009" w:usb3="00000000" w:csb0="000001FF" w:csb1="00000000"/>
    <w:embedRegular r:id="rId2" w:fontKey="{AE09CA92-BD6C-4747-A6B8-09648E95311A}"/>
  </w:font>
  <w:font w:name="Cambria">
    <w:panose1 w:val="02040503050406030204"/>
    <w:charset w:val="00"/>
    <w:family w:val="roman"/>
    <w:pitch w:val="variable"/>
    <w:sig w:usb0="E00006FF" w:usb1="420024FF" w:usb2="02000000" w:usb3="00000000" w:csb0="0000019F" w:csb1="00000000"/>
    <w:embedRegular r:id="rId3" w:fontKey="{8BF5C390-C08D-45CD-A4D9-AA3FC114C7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DF45" w14:textId="77777777" w:rsidR="000C2081" w:rsidRDefault="006F191C">
    <w:pPr>
      <w:widowControl w:val="0"/>
    </w:pPr>
    <w:r>
      <w:rPr>
        <w:noProof/>
      </w:rPr>
      <w:drawing>
        <wp:inline distT="114300" distB="114300" distL="114300" distR="114300" wp14:anchorId="7F6A1D06" wp14:editId="24E87228">
          <wp:extent cx="1504479" cy="809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04479" cy="809625"/>
                  </a:xfrm>
                  <a:prstGeom prst="rect">
                    <a:avLst/>
                  </a:prstGeom>
                  <a:ln/>
                </pic:spPr>
              </pic:pic>
            </a:graphicData>
          </a:graphic>
        </wp:inline>
      </w:drawing>
    </w:r>
    <w:r>
      <w:t xml:space="preserve">                  </w:t>
    </w:r>
    <w:r>
      <w:rPr>
        <w:noProof/>
      </w:rPr>
      <w:drawing>
        <wp:inline distT="114300" distB="114300" distL="114300" distR="114300" wp14:anchorId="04702F7E" wp14:editId="5EDAA8C6">
          <wp:extent cx="1419225" cy="1378003"/>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419225" cy="1378003"/>
                  </a:xfrm>
                  <a:prstGeom prst="rect">
                    <a:avLst/>
                  </a:prstGeom>
                  <a:ln/>
                </pic:spPr>
              </pic:pic>
            </a:graphicData>
          </a:graphic>
        </wp:inline>
      </w:drawing>
    </w:r>
    <w:r>
      <w:t xml:space="preserve">                         </w:t>
    </w:r>
    <w:r>
      <w:rPr>
        <w:noProof/>
      </w:rPr>
      <w:drawing>
        <wp:inline distT="114300" distB="114300" distL="114300" distR="114300" wp14:anchorId="05899005" wp14:editId="0966CC5D">
          <wp:extent cx="988088" cy="74295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a:stretch>
                    <a:fillRect/>
                  </a:stretch>
                </pic:blipFill>
                <pic:spPr>
                  <a:xfrm>
                    <a:off x="0" y="0"/>
                    <a:ext cx="988088" cy="74295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C026E" w14:textId="77777777" w:rsidR="006F191C" w:rsidRDefault="006F191C">
      <w:pPr>
        <w:spacing w:line="240" w:lineRule="auto"/>
      </w:pPr>
      <w:r>
        <w:separator/>
      </w:r>
    </w:p>
  </w:footnote>
  <w:footnote w:type="continuationSeparator" w:id="0">
    <w:p w14:paraId="5FC12CAE" w14:textId="77777777" w:rsidR="006F191C" w:rsidRDefault="006F191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306B0"/>
    <w:multiLevelType w:val="multilevel"/>
    <w:tmpl w:val="74066A6A"/>
    <w:lvl w:ilvl="0">
      <w:start w:val="1"/>
      <w:numFmt w:val="bullet"/>
      <w:lvlText w:val="▪"/>
      <w:lvlJc w:val="left"/>
      <w:pPr>
        <w:ind w:left="720" w:hanging="720"/>
      </w:pPr>
      <w:rPr>
        <w:u w:val="none"/>
      </w:rPr>
    </w:lvl>
    <w:lvl w:ilvl="1">
      <w:start w:val="1"/>
      <w:numFmt w:val="lowerLetter"/>
      <w:lvlText w:val="%2"/>
      <w:lvlJc w:val="left"/>
      <w:pPr>
        <w:ind w:left="1555" w:hanging="1555"/>
      </w:pPr>
      <w:rPr>
        <w:u w:val="none"/>
      </w:rPr>
    </w:lvl>
    <w:lvl w:ilvl="2">
      <w:start w:val="1"/>
      <w:numFmt w:val="lowerRoman"/>
      <w:lvlText w:val="%3"/>
      <w:lvlJc w:val="left"/>
      <w:pPr>
        <w:ind w:left="2275" w:hanging="2275"/>
      </w:pPr>
      <w:rPr>
        <w:u w:val="none"/>
      </w:rPr>
    </w:lvl>
    <w:lvl w:ilvl="3">
      <w:start w:val="1"/>
      <w:numFmt w:val="decimal"/>
      <w:lvlText w:val="%4"/>
      <w:lvlJc w:val="left"/>
      <w:pPr>
        <w:ind w:left="2995" w:hanging="2995"/>
      </w:pPr>
      <w:rPr>
        <w:u w:val="none"/>
      </w:rPr>
    </w:lvl>
    <w:lvl w:ilvl="4">
      <w:start w:val="1"/>
      <w:numFmt w:val="lowerLetter"/>
      <w:lvlText w:val="%5"/>
      <w:lvlJc w:val="left"/>
      <w:pPr>
        <w:ind w:left="3715" w:hanging="3715"/>
      </w:pPr>
      <w:rPr>
        <w:u w:val="none"/>
      </w:rPr>
    </w:lvl>
    <w:lvl w:ilvl="5">
      <w:start w:val="1"/>
      <w:numFmt w:val="lowerRoman"/>
      <w:lvlText w:val="%6"/>
      <w:lvlJc w:val="left"/>
      <w:pPr>
        <w:ind w:left="4435" w:hanging="4435"/>
      </w:pPr>
      <w:rPr>
        <w:u w:val="none"/>
      </w:rPr>
    </w:lvl>
    <w:lvl w:ilvl="6">
      <w:start w:val="1"/>
      <w:numFmt w:val="decimal"/>
      <w:lvlText w:val="%7"/>
      <w:lvlJc w:val="left"/>
      <w:pPr>
        <w:ind w:left="5155" w:hanging="5155"/>
      </w:pPr>
      <w:rPr>
        <w:u w:val="none"/>
      </w:rPr>
    </w:lvl>
    <w:lvl w:ilvl="7">
      <w:start w:val="1"/>
      <w:numFmt w:val="lowerLetter"/>
      <w:lvlText w:val="%8"/>
      <w:lvlJc w:val="left"/>
      <w:pPr>
        <w:ind w:left="5875" w:hanging="5875"/>
      </w:pPr>
      <w:rPr>
        <w:u w:val="none"/>
      </w:rPr>
    </w:lvl>
    <w:lvl w:ilvl="8">
      <w:start w:val="1"/>
      <w:numFmt w:val="lowerRoman"/>
      <w:lvlText w:val="%9"/>
      <w:lvlJc w:val="left"/>
      <w:pPr>
        <w:ind w:left="6595" w:hanging="6595"/>
      </w:pPr>
      <w:rPr>
        <w:u w:val="none"/>
      </w:rPr>
    </w:lvl>
  </w:abstractNum>
  <w:abstractNum w:abstractNumId="1" w15:restartNumberingAfterBreak="0">
    <w:nsid w:val="61897DEC"/>
    <w:multiLevelType w:val="multilevel"/>
    <w:tmpl w:val="4FDC3280"/>
    <w:lvl w:ilvl="0">
      <w:start w:val="1"/>
      <w:numFmt w:val="decimal"/>
      <w:lvlText w:val="%1."/>
      <w:lvlJc w:val="left"/>
      <w:pPr>
        <w:ind w:left="495" w:hanging="360"/>
      </w:pPr>
      <w:rPr>
        <w:u w:val="none"/>
      </w:rPr>
    </w:lvl>
    <w:lvl w:ilvl="1">
      <w:start w:val="1"/>
      <w:numFmt w:val="lowerLetter"/>
      <w:lvlText w:val="%2."/>
      <w:lvlJc w:val="left"/>
      <w:pPr>
        <w:ind w:left="1215" w:hanging="360"/>
      </w:pPr>
      <w:rPr>
        <w:u w:val="none"/>
      </w:rPr>
    </w:lvl>
    <w:lvl w:ilvl="2">
      <w:start w:val="1"/>
      <w:numFmt w:val="lowerRoman"/>
      <w:lvlText w:val="%3."/>
      <w:lvlJc w:val="right"/>
      <w:pPr>
        <w:ind w:left="1935" w:hanging="180"/>
      </w:pPr>
      <w:rPr>
        <w:u w:val="none"/>
      </w:rPr>
    </w:lvl>
    <w:lvl w:ilvl="3">
      <w:start w:val="1"/>
      <w:numFmt w:val="decimal"/>
      <w:lvlText w:val="%4."/>
      <w:lvlJc w:val="left"/>
      <w:pPr>
        <w:ind w:left="2655" w:hanging="360"/>
      </w:pPr>
      <w:rPr>
        <w:u w:val="none"/>
      </w:rPr>
    </w:lvl>
    <w:lvl w:ilvl="4">
      <w:start w:val="1"/>
      <w:numFmt w:val="lowerLetter"/>
      <w:lvlText w:val="%5."/>
      <w:lvlJc w:val="left"/>
      <w:pPr>
        <w:ind w:left="3375" w:hanging="360"/>
      </w:pPr>
      <w:rPr>
        <w:u w:val="none"/>
      </w:rPr>
    </w:lvl>
    <w:lvl w:ilvl="5">
      <w:start w:val="1"/>
      <w:numFmt w:val="lowerRoman"/>
      <w:lvlText w:val="%6."/>
      <w:lvlJc w:val="right"/>
      <w:pPr>
        <w:ind w:left="4095" w:hanging="180"/>
      </w:pPr>
      <w:rPr>
        <w:u w:val="none"/>
      </w:rPr>
    </w:lvl>
    <w:lvl w:ilvl="6">
      <w:start w:val="1"/>
      <w:numFmt w:val="decimal"/>
      <w:lvlText w:val="%7."/>
      <w:lvlJc w:val="left"/>
      <w:pPr>
        <w:ind w:left="4815" w:hanging="360"/>
      </w:pPr>
      <w:rPr>
        <w:u w:val="none"/>
      </w:rPr>
    </w:lvl>
    <w:lvl w:ilvl="7">
      <w:start w:val="1"/>
      <w:numFmt w:val="lowerLetter"/>
      <w:lvlText w:val="%8."/>
      <w:lvlJc w:val="left"/>
      <w:pPr>
        <w:ind w:left="5535" w:hanging="360"/>
      </w:pPr>
      <w:rPr>
        <w:u w:val="none"/>
      </w:rPr>
    </w:lvl>
    <w:lvl w:ilvl="8">
      <w:start w:val="1"/>
      <w:numFmt w:val="lowerRoman"/>
      <w:lvlText w:val="%9."/>
      <w:lvlJc w:val="right"/>
      <w:pPr>
        <w:ind w:left="6255" w:hanging="18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081"/>
    <w:rsid w:val="000C2081"/>
    <w:rsid w:val="006F191C"/>
    <w:rsid w:val="00941501"/>
    <w:rsid w:val="00EF4D01"/>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F4E87"/>
  <w15:docId w15:val="{BE595EB3-343D-426C-9829-5AB963566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N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thecable.ng/neiti-backs-tax-reform-bills-says-theyll-boost-compliance-in-extractive-sector/" TargetMode="External"/><Relationship Id="rId13" Type="http://schemas.openxmlformats.org/officeDocument/2006/relationships/hyperlink" Target="https://extractive360.com/2025/03/05/neiti-stakeholders-amplify-support-for-tax-reforms-bills/" TargetMode="External"/><Relationship Id="rId18" Type="http://schemas.openxmlformats.org/officeDocument/2006/relationships/hyperlink" Target="https://guardian.ng/business-services/business/neiti-others-drum-support-for-tax-reform-amidst-leakages-evasio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thisdaylive.com/index.php/2025/03/04/neiti-orderpaper-experts-brainstorm-on-fgs-new-tax-reform-bills/" TargetMode="External"/><Relationship Id="rId12" Type="http://schemas.openxmlformats.org/officeDocument/2006/relationships/hyperlink" Target="https://www.vanguardngr.com/2025/03/oil-gas-neiti-stakeholders-back-fgs-tax-reform-bills/" TargetMode="External"/><Relationship Id="rId17" Type="http://schemas.openxmlformats.org/officeDocument/2006/relationships/hyperlink" Target="https://newtelegraphng.com/tax-reform-bills-why-fg-should-look-at-critical-stakeholders-inputs-epia/" TargetMode="External"/><Relationship Id="rId2" Type="http://schemas.openxmlformats.org/officeDocument/2006/relationships/styles" Target="styles.xml"/><Relationship Id="rId16" Type="http://schemas.openxmlformats.org/officeDocument/2006/relationships/hyperlink" Target="https://newtelegraphng.com/neiti-to-support-tax-reform-bill-with-technical-inputs-dat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irametrics.com/2025/03/04/neiti-pledges-technical-support-for-2024-tax-reform-bill/" TargetMode="External"/><Relationship Id="rId5" Type="http://schemas.openxmlformats.org/officeDocument/2006/relationships/footnotes" Target="footnotes.xml"/><Relationship Id="rId15" Type="http://schemas.openxmlformats.org/officeDocument/2006/relationships/hyperlink" Target="https://newnationalstar.com/neiti-stakeholders-back-fgs-tax-reforms-bill/" TargetMode="External"/><Relationship Id="rId10" Type="http://schemas.openxmlformats.org/officeDocument/2006/relationships/hyperlink" Target="https://insidebusiness.ng/227872/neiti-orderpaper-begin-dialogue-on-tax-reforms-extractive-sector-transparency/"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hannelstv.com/2025/03/04/neiti-pledges-technical-support-for-tax-reform-bill/" TargetMode="External"/><Relationship Id="rId14" Type="http://schemas.openxmlformats.org/officeDocument/2006/relationships/hyperlink" Target="https://extractive360.com/2025/03/05/neiti-stakeholders-amplify-support-for-tax-reforms-bill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1783</Words>
  <Characters>10166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DDCOMMS</dc:creator>
  <cp:lastModifiedBy>Chris Ochonu</cp:lastModifiedBy>
  <cp:revision>2</cp:revision>
  <dcterms:created xsi:type="dcterms:W3CDTF">2026-06-26T19:39:00Z</dcterms:created>
  <dcterms:modified xsi:type="dcterms:W3CDTF">2026-06-26T19:39:00Z</dcterms:modified>
</cp:coreProperties>
</file>