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4A023">
      <w:pPr>
        <w:rPr>
          <w:b/>
          <w:sz w:val="28"/>
          <w:szCs w:val="28"/>
        </w:rPr>
      </w:pPr>
      <w:bookmarkStart w:id="0" w:name="_GoBack"/>
      <w:bookmarkEnd w:id="0"/>
      <w:r>
        <w:rPr>
          <w:b/>
          <w:sz w:val="28"/>
          <w:szCs w:val="28"/>
        </w:rPr>
        <w:t>CRC MEETING MINUTES- 18</w:t>
      </w:r>
      <w:r>
        <w:rPr>
          <w:b/>
          <w:sz w:val="28"/>
          <w:szCs w:val="28"/>
          <w:vertAlign w:val="superscript"/>
        </w:rPr>
        <w:t>TH</w:t>
      </w:r>
      <w:r>
        <w:rPr>
          <w:b/>
          <w:sz w:val="28"/>
          <w:szCs w:val="28"/>
        </w:rPr>
        <w:t xml:space="preserve"> JUNE 2026</w:t>
      </w:r>
    </w:p>
    <w:p w14:paraId="4F5FB370">
      <w:pPr>
        <w:rPr>
          <w:b/>
          <w:sz w:val="28"/>
          <w:szCs w:val="28"/>
        </w:rPr>
      </w:pPr>
      <w:r>
        <w:rPr>
          <w:b/>
          <w:sz w:val="28"/>
          <w:szCs w:val="28"/>
        </w:rPr>
        <w:t>Venue: Bua Cement Boardrom</w:t>
      </w:r>
    </w:p>
    <w:p w14:paraId="5DED9826">
      <w:pPr>
        <w:spacing w:after="0" w:line="240" w:lineRule="auto"/>
        <w:rPr>
          <w:rFonts w:ascii="Times New Roman" w:hAnsi="Times New Roman" w:eastAsia="Times New Roman" w:cs="Times New Roman"/>
          <w:sz w:val="28"/>
          <w:szCs w:val="28"/>
        </w:rPr>
      </w:pPr>
    </w:p>
    <w:p w14:paraId="2573B9F0">
      <w:pPr>
        <w:pStyle w:val="4"/>
        <w:numPr>
          <w:ilvl w:val="0"/>
          <w:numId w:val="1"/>
        </w:num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Opening Prayer and remarks</w:t>
      </w:r>
    </w:p>
    <w:p w14:paraId="63B100DB">
      <w:pPr>
        <w:spacing w:after="0" w:line="240" w:lineRule="auto"/>
        <w:textAlignment w:val="baseline"/>
        <w:rPr>
          <w:rFonts w:ascii="Times New Roman" w:hAnsi="Times New Roman" w:eastAsia="Times New Roman" w:cs="Times New Roman"/>
          <w:sz w:val="28"/>
          <w:szCs w:val="28"/>
        </w:rPr>
      </w:pPr>
    </w:p>
    <w:p w14:paraId="0D6D37A0">
      <w:pPr>
        <w:pStyle w:val="4"/>
        <w:numPr>
          <w:ilvl w:val="0"/>
          <w:numId w:val="1"/>
        </w:num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Review and adoption of the previous meeting minutes.</w:t>
      </w:r>
    </w:p>
    <w:p w14:paraId="37B8B280">
      <w:pPr>
        <w:spacing w:after="0" w:line="240" w:lineRule="auto"/>
        <w:textAlignment w:val="baseline"/>
        <w:rPr>
          <w:rFonts w:ascii="Times New Roman" w:hAnsi="Times New Roman" w:eastAsia="Times New Roman" w:cs="Times New Roman"/>
          <w:sz w:val="28"/>
          <w:szCs w:val="28"/>
        </w:rPr>
      </w:pPr>
    </w:p>
    <w:p w14:paraId="3683E8EA">
      <w:pPr>
        <w:pStyle w:val="4"/>
        <w:numPr>
          <w:ilvl w:val="0"/>
          <w:numId w:val="1"/>
        </w:num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Key Discussions and Resolutions</w:t>
      </w:r>
    </w:p>
    <w:p w14:paraId="566FD2F1">
      <w:pPr>
        <w:pStyle w:val="4"/>
        <w:spacing w:after="0" w:line="240" w:lineRule="auto"/>
        <w:textAlignment w:val="baseline"/>
        <w:rPr>
          <w:rFonts w:ascii="Times New Roman" w:hAnsi="Times New Roman" w:eastAsia="Times New Roman" w:cs="Times New Roman"/>
          <w:b/>
          <w:sz w:val="28"/>
          <w:szCs w:val="28"/>
        </w:rPr>
      </w:pPr>
    </w:p>
    <w:p w14:paraId="7D8B33BE">
      <w:p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A</w:t>
      </w:r>
      <w:r>
        <w:rPr>
          <w:rFonts w:ascii="Times New Roman" w:hAnsi="Times New Roman" w:eastAsia="Times New Roman" w:cs="Times New Roman"/>
          <w:sz w:val="28"/>
          <w:szCs w:val="28"/>
        </w:rPr>
        <w:t xml:space="preserve">. </w:t>
      </w:r>
      <w:r>
        <w:rPr>
          <w:rFonts w:ascii="Times New Roman" w:hAnsi="Times New Roman" w:eastAsia="Times New Roman" w:cs="Times New Roman"/>
          <w:b/>
          <w:sz w:val="28"/>
          <w:szCs w:val="28"/>
        </w:rPr>
        <w:t>Takeover of Illela Facilities (School and Clinic)</w:t>
      </w:r>
    </w:p>
    <w:p w14:paraId="604CFEF3">
      <w:p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The Local Government requested an official covering letter from BUA Management to facilitate the formal handover of the school and clinic at Illela New Resettlement.</w:t>
      </w:r>
    </w:p>
    <w:p w14:paraId="29320526">
      <w:pPr>
        <w:spacing w:after="0" w:line="240" w:lineRule="auto"/>
        <w:textAlignment w:val="baseline"/>
        <w:rPr>
          <w:rFonts w:ascii="Times New Roman" w:hAnsi="Times New Roman" w:eastAsia="Times New Roman" w:cs="Times New Roman"/>
          <w:sz w:val="28"/>
          <w:szCs w:val="28"/>
        </w:rPr>
      </w:pPr>
    </w:p>
    <w:p w14:paraId="04DDA518">
      <w:p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b/>
          <w:sz w:val="28"/>
          <w:szCs w:val="28"/>
        </w:rPr>
        <w:t>B.</w:t>
      </w:r>
      <w:r>
        <w:rPr>
          <w:rFonts w:ascii="Times New Roman" w:hAnsi="Times New Roman" w:eastAsia="Times New Roman" w:cs="Times New Roman"/>
          <w:sz w:val="28"/>
          <w:szCs w:val="28"/>
        </w:rPr>
        <w:t xml:space="preserve"> Local Government representative should identify land for the construction of the vocational school.</w:t>
      </w:r>
    </w:p>
    <w:p w14:paraId="46134403">
      <w:pPr>
        <w:spacing w:after="0" w:line="240" w:lineRule="auto"/>
        <w:textAlignment w:val="baseline"/>
        <w:rPr>
          <w:rFonts w:ascii="Times New Roman" w:hAnsi="Times New Roman" w:eastAsia="Times New Roman" w:cs="Times New Roman"/>
          <w:b/>
          <w:sz w:val="28"/>
          <w:szCs w:val="28"/>
        </w:rPr>
      </w:pPr>
    </w:p>
    <w:p w14:paraId="6C250D11">
      <w:p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Abdullahi Yusuf to follow up and provide feedback on the status of the school uniforms.</w:t>
      </w:r>
    </w:p>
    <w:p w14:paraId="6473272E">
      <w:p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The Local Government is expected to provide a report on the identified land within one month.</w:t>
      </w:r>
    </w:p>
    <w:p w14:paraId="4551828F">
      <w:pPr>
        <w:spacing w:after="0" w:line="240" w:lineRule="auto"/>
        <w:textAlignment w:val="baseline"/>
        <w:rPr>
          <w:rFonts w:ascii="Times New Roman" w:hAnsi="Times New Roman" w:eastAsia="Times New Roman" w:cs="Times New Roman"/>
          <w:sz w:val="28"/>
          <w:szCs w:val="28"/>
        </w:rPr>
      </w:pPr>
    </w:p>
    <w:p w14:paraId="30B30008">
      <w:p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b/>
          <w:sz w:val="28"/>
          <w:szCs w:val="28"/>
        </w:rPr>
        <w:t>C. General Consultative Committee (GCC)</w:t>
      </w:r>
    </w:p>
    <w:p w14:paraId="64721CC7">
      <w:p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Wamakko Local Government will compile the final list of representatives for the GCC. Official letters will be sent to all districts requesting the submission of their representatives' names.</w:t>
      </w:r>
    </w:p>
    <w:p w14:paraId="25EE0AE0">
      <w:pPr>
        <w:spacing w:after="0" w:line="240" w:lineRule="auto"/>
        <w:textAlignment w:val="baseline"/>
        <w:rPr>
          <w:rFonts w:ascii="Times New Roman" w:hAnsi="Times New Roman" w:eastAsia="Times New Roman" w:cs="Times New Roman"/>
          <w:sz w:val="28"/>
          <w:szCs w:val="28"/>
        </w:rPr>
      </w:pPr>
    </w:p>
    <w:p w14:paraId="08C6F030">
      <w:p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D</w:t>
      </w:r>
      <w:r>
        <w:rPr>
          <w:rFonts w:ascii="Times New Roman" w:hAnsi="Times New Roman" w:eastAsia="Times New Roman" w:cs="Times New Roman"/>
          <w:sz w:val="28"/>
          <w:szCs w:val="28"/>
        </w:rPr>
        <w:t xml:space="preserve">. </w:t>
      </w:r>
      <w:r>
        <w:rPr>
          <w:rFonts w:ascii="Times New Roman" w:hAnsi="Times New Roman" w:eastAsia="Times New Roman" w:cs="Times New Roman"/>
          <w:b/>
          <w:sz w:val="28"/>
          <w:szCs w:val="28"/>
        </w:rPr>
        <w:t>Arkilla Clinic Infrastructure</w:t>
      </w:r>
    </w:p>
    <w:p w14:paraId="392E2079">
      <w:p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The committee reviewed a request from Ubandoma for the construction of a 20-bed ward, a theatre room, and a borehole at Arkilla Clinic. It was agreed that a rescoping of the projects must be conducted before approval.</w:t>
      </w:r>
    </w:p>
    <w:p w14:paraId="5220FCCF">
      <w:pPr>
        <w:spacing w:after="0" w:line="240" w:lineRule="auto"/>
        <w:textAlignment w:val="baseline"/>
        <w:rPr>
          <w:rFonts w:ascii="Times New Roman" w:hAnsi="Times New Roman" w:eastAsia="Times New Roman" w:cs="Times New Roman"/>
          <w:sz w:val="28"/>
          <w:szCs w:val="28"/>
        </w:rPr>
      </w:pPr>
    </w:p>
    <w:p w14:paraId="39A0955A">
      <w:p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Action Point:</w:t>
      </w:r>
    </w:p>
    <w:p w14:paraId="608E7DE7">
      <w:pPr>
        <w:pStyle w:val="4"/>
        <w:numPr>
          <w:ilvl w:val="0"/>
          <w:numId w:val="2"/>
        </w:num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Feedback regarding management response about the project rescoping will be communicated to Ubandoma within two weeks.</w:t>
      </w:r>
    </w:p>
    <w:p w14:paraId="3EE4FAE5">
      <w:pPr>
        <w:spacing w:after="0" w:line="240" w:lineRule="auto"/>
        <w:textAlignment w:val="baseline"/>
        <w:rPr>
          <w:rFonts w:ascii="Times New Roman" w:hAnsi="Times New Roman" w:eastAsia="Times New Roman" w:cs="Times New Roman"/>
          <w:sz w:val="28"/>
          <w:szCs w:val="28"/>
        </w:rPr>
      </w:pPr>
    </w:p>
    <w:p w14:paraId="5580E973">
      <w:p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Upcoming Event</w:t>
      </w:r>
    </w:p>
    <w:p w14:paraId="4D88B525">
      <w:p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Heavy-Duty Machine Trainees Graduation</w:t>
      </w:r>
    </w:p>
    <w:p w14:paraId="07C386EA">
      <w:p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The graduation ceremony for the Heavy-Duty Machine Trainees is scheduled for 1</w:t>
      </w:r>
      <w:r>
        <w:rPr>
          <w:rFonts w:ascii="Times New Roman" w:hAnsi="Times New Roman" w:eastAsia="Times New Roman" w:cs="Times New Roman"/>
          <w:sz w:val="28"/>
          <w:szCs w:val="28"/>
          <w:vertAlign w:val="superscript"/>
        </w:rPr>
        <w:t>st</w:t>
      </w:r>
      <w:r>
        <w:rPr>
          <w:rFonts w:ascii="Times New Roman" w:hAnsi="Times New Roman" w:eastAsia="Times New Roman" w:cs="Times New Roman"/>
          <w:sz w:val="28"/>
          <w:szCs w:val="28"/>
        </w:rPr>
        <w:t xml:space="preserve"> week of July,2026. Final preparations are currently underway.</w:t>
      </w:r>
    </w:p>
    <w:p w14:paraId="4E152702">
      <w:pPr>
        <w:spacing w:after="0" w:line="240" w:lineRule="auto"/>
        <w:textAlignment w:val="baseline"/>
        <w:rPr>
          <w:rFonts w:ascii="Times New Roman" w:hAnsi="Times New Roman" w:eastAsia="Times New Roman" w:cs="Times New Roman"/>
          <w:sz w:val="28"/>
          <w:szCs w:val="28"/>
        </w:rPr>
      </w:pPr>
    </w:p>
    <w:p w14:paraId="731B71E2">
      <w:pPr>
        <w:pStyle w:val="4"/>
        <w:numPr>
          <w:ilvl w:val="0"/>
          <w:numId w:val="3"/>
        </w:num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Progress review of the Community Development Agreement (CDA) </w:t>
      </w:r>
    </w:p>
    <w:p w14:paraId="4F467275">
      <w:pPr>
        <w:pStyle w:val="4"/>
        <w:spacing w:after="0" w:line="240" w:lineRule="auto"/>
        <w:textAlignment w:val="baseline"/>
        <w:rPr>
          <w:rFonts w:ascii="Times New Roman" w:hAnsi="Times New Roman" w:eastAsia="Times New Roman" w:cs="Times New Roman"/>
          <w:b/>
          <w:sz w:val="28"/>
          <w:szCs w:val="28"/>
        </w:rPr>
      </w:pPr>
    </w:p>
    <w:p w14:paraId="7EECD1C0">
      <w:p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The committee reviewed the progress made on the implementation of the Community Development Agreement (CDA).</w:t>
      </w:r>
    </w:p>
    <w:p w14:paraId="1E91BF06">
      <w:pPr>
        <w:spacing w:after="0" w:line="240" w:lineRule="auto"/>
        <w:textAlignment w:val="baseline"/>
        <w:rPr>
          <w:rFonts w:ascii="Times New Roman" w:hAnsi="Times New Roman" w:eastAsia="Times New Roman" w:cs="Times New Roman"/>
          <w:sz w:val="28"/>
          <w:szCs w:val="28"/>
        </w:rPr>
      </w:pPr>
    </w:p>
    <w:p w14:paraId="5E37AD42">
      <w:pPr>
        <w:pStyle w:val="4"/>
        <w:numPr>
          <w:ilvl w:val="0"/>
          <w:numId w:val="3"/>
        </w:num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Security and Risk Management</w:t>
      </w:r>
    </w:p>
    <w:p w14:paraId="6A6D1C18">
      <w:pPr>
        <w:pStyle w:val="4"/>
        <w:spacing w:after="0" w:line="240" w:lineRule="auto"/>
        <w:textAlignment w:val="baseline"/>
        <w:rPr>
          <w:rFonts w:ascii="Times New Roman" w:hAnsi="Times New Roman" w:eastAsia="Times New Roman" w:cs="Times New Roman"/>
          <w:b/>
          <w:sz w:val="28"/>
          <w:szCs w:val="28"/>
        </w:rPr>
      </w:pPr>
    </w:p>
    <w:p w14:paraId="18FE9638">
      <w:p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Security Situation</w:t>
      </w:r>
    </w:p>
    <w:p w14:paraId="30B6649E">
      <w:pPr>
        <w:spacing w:after="0" w:line="240" w:lineRule="auto"/>
        <w:textAlignment w:val="baseline"/>
        <w:rPr>
          <w:rFonts w:ascii="Times New Roman" w:hAnsi="Times New Roman" w:eastAsia="Times New Roman" w:cs="Times New Roman"/>
          <w:b/>
          <w:sz w:val="28"/>
          <w:szCs w:val="28"/>
        </w:rPr>
      </w:pPr>
    </w:p>
    <w:p w14:paraId="79D5A2A1">
      <w:p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The committee discussed the increasing security challenges affecting the host communities and the company's operations. The concerns raised include:</w:t>
      </w:r>
    </w:p>
    <w:p w14:paraId="13CCF4D9">
      <w:pPr>
        <w:pStyle w:val="4"/>
        <w:numPr>
          <w:ilvl w:val="0"/>
          <w:numId w:val="4"/>
        </w:num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Frequent unauthorized access and theft of company property.</w:t>
      </w:r>
    </w:p>
    <w:p w14:paraId="38D9F423">
      <w:pPr>
        <w:pStyle w:val="4"/>
        <w:numPr>
          <w:ilvl w:val="0"/>
          <w:numId w:val="5"/>
        </w:num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Security threats to staff, particularly expatriate personnel.</w:t>
      </w:r>
    </w:p>
    <w:p w14:paraId="1C77AB3F">
      <w:pPr>
        <w:pStyle w:val="4"/>
        <w:numPr>
          <w:ilvl w:val="0"/>
          <w:numId w:val="5"/>
        </w:num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Delays in implementing resolutions from previous CRC meetings, which have contributed to the worsening situation.</w:t>
      </w:r>
    </w:p>
    <w:p w14:paraId="55818D4A">
      <w:pPr>
        <w:spacing w:after="0" w:line="240" w:lineRule="auto"/>
        <w:textAlignment w:val="baseline"/>
        <w:rPr>
          <w:rFonts w:ascii="Times New Roman" w:hAnsi="Times New Roman" w:eastAsia="Times New Roman" w:cs="Times New Roman"/>
          <w:b/>
          <w:sz w:val="28"/>
          <w:szCs w:val="28"/>
        </w:rPr>
      </w:pPr>
    </w:p>
    <w:p w14:paraId="35F16322">
      <w:p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Proposed Actions</w:t>
      </w:r>
    </w:p>
    <w:p w14:paraId="0E8FFCCD">
      <w:pPr>
        <w:spacing w:after="0" w:line="240" w:lineRule="auto"/>
        <w:textAlignment w:val="baseline"/>
        <w:rPr>
          <w:rFonts w:ascii="Times New Roman" w:hAnsi="Times New Roman" w:eastAsia="Times New Roman" w:cs="Times New Roman"/>
          <w:b/>
          <w:sz w:val="28"/>
          <w:szCs w:val="28"/>
        </w:rPr>
      </w:pPr>
    </w:p>
    <w:p w14:paraId="0874E1A0">
      <w:pPr>
        <w:pStyle w:val="4"/>
        <w:numPr>
          <w:ilvl w:val="0"/>
          <w:numId w:val="6"/>
        </w:num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Collaboration with local vigilante groups was proposed to strengthen security operations.</w:t>
      </w:r>
    </w:p>
    <w:p w14:paraId="07007B8A">
      <w:pPr>
        <w:pStyle w:val="4"/>
        <w:numPr>
          <w:ilvl w:val="0"/>
          <w:numId w:val="6"/>
        </w:num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A one-week deadline was set to establish a joint security framework between BUA and the host communities.</w:t>
      </w:r>
    </w:p>
    <w:p w14:paraId="350BC4E2">
      <w:pPr>
        <w:pStyle w:val="4"/>
        <w:spacing w:after="0" w:line="240" w:lineRule="auto"/>
        <w:textAlignment w:val="baseline"/>
        <w:rPr>
          <w:rFonts w:ascii="Times New Roman" w:hAnsi="Times New Roman" w:eastAsia="Times New Roman" w:cs="Times New Roman"/>
          <w:sz w:val="28"/>
          <w:szCs w:val="28"/>
        </w:rPr>
      </w:pPr>
    </w:p>
    <w:p w14:paraId="38900A64">
      <w:p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7. Community Development Projects</w:t>
      </w:r>
    </w:p>
    <w:p w14:paraId="08EB6D15">
      <w:p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Local Government authorities and District Heads were asked to identify and prioritize host communities that urgently require boreholes and other infrastructure projects under the CDA.</w:t>
      </w:r>
    </w:p>
    <w:p w14:paraId="35CEAE6C">
      <w:pPr>
        <w:spacing w:after="0" w:line="240" w:lineRule="auto"/>
        <w:textAlignment w:val="baseline"/>
        <w:rPr>
          <w:rFonts w:ascii="Times New Roman" w:hAnsi="Times New Roman" w:eastAsia="Times New Roman" w:cs="Times New Roman"/>
          <w:sz w:val="28"/>
          <w:szCs w:val="28"/>
        </w:rPr>
      </w:pPr>
    </w:p>
    <w:p w14:paraId="4AC46E6F">
      <w:pPr>
        <w:pStyle w:val="4"/>
        <w:numPr>
          <w:ilvl w:val="0"/>
          <w:numId w:val="3"/>
        </w:num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Healthcare and Medical Supply Management</w:t>
      </w:r>
    </w:p>
    <w:p w14:paraId="74FC3F8D">
      <w:pPr>
        <w:pStyle w:val="4"/>
        <w:spacing w:after="0" w:line="240" w:lineRule="auto"/>
        <w:textAlignment w:val="baseline"/>
        <w:rPr>
          <w:rFonts w:ascii="Times New Roman" w:hAnsi="Times New Roman" w:eastAsia="Times New Roman" w:cs="Times New Roman"/>
          <w:b/>
          <w:sz w:val="28"/>
          <w:szCs w:val="28"/>
        </w:rPr>
      </w:pPr>
    </w:p>
    <w:p w14:paraId="6CCD6DD1">
      <w:p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b/>
          <w:sz w:val="28"/>
          <w:szCs w:val="28"/>
        </w:rPr>
        <w:t>A.</w:t>
      </w:r>
      <w:r>
        <w:rPr>
          <w:rFonts w:ascii="Times New Roman" w:hAnsi="Times New Roman" w:eastAsia="Times New Roman" w:cs="Times New Roman"/>
          <w:sz w:val="28"/>
          <w:szCs w:val="28"/>
        </w:rPr>
        <w:t xml:space="preserve"> Health Data Collection</w:t>
      </w:r>
    </w:p>
    <w:p w14:paraId="1FFACE6F">
      <w:p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b/>
          <w:sz w:val="28"/>
          <w:szCs w:val="28"/>
        </w:rPr>
        <w:t>B.</w:t>
      </w:r>
      <w:r>
        <w:rPr>
          <w:rFonts w:ascii="Times New Roman" w:hAnsi="Times New Roman" w:eastAsia="Times New Roman" w:cs="Times New Roman"/>
          <w:sz w:val="28"/>
          <w:szCs w:val="28"/>
        </w:rPr>
        <w:t xml:space="preserve"> Healthcare facilitators visited community clinics to assess health records and identify common illnesses.</w:t>
      </w:r>
    </w:p>
    <w:p w14:paraId="73CE3430">
      <w:p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b/>
          <w:sz w:val="28"/>
          <w:szCs w:val="28"/>
        </w:rPr>
        <w:t>C.</w:t>
      </w:r>
      <w:r>
        <w:rPr>
          <w:rFonts w:ascii="Times New Roman" w:hAnsi="Times New Roman" w:eastAsia="Times New Roman" w:cs="Times New Roman"/>
          <w:sz w:val="28"/>
          <w:szCs w:val="28"/>
        </w:rPr>
        <w:t xml:space="preserve"> The information gathered will help ensure that future drug donations meet the specific health needs of each community.</w:t>
      </w:r>
    </w:p>
    <w:p w14:paraId="66CC9DBC">
      <w:p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b/>
          <w:sz w:val="28"/>
          <w:szCs w:val="28"/>
        </w:rPr>
        <w:t>D.</w:t>
      </w:r>
      <w:r>
        <w:rPr>
          <w:rFonts w:ascii="Times New Roman" w:hAnsi="Times New Roman" w:eastAsia="Times New Roman" w:cs="Times New Roman"/>
          <w:sz w:val="28"/>
          <w:szCs w:val="28"/>
        </w:rPr>
        <w:t xml:space="preserve"> Accountability Measures should be put in place- A health supervisory committee should be set up to ensure proper utilization of the drugs- All beneficiary clinics must provide records of how donated medicines are distributed and used.</w:t>
      </w:r>
    </w:p>
    <w:p w14:paraId="58CD6EC3">
      <w:pPr>
        <w:spacing w:after="0" w:line="240" w:lineRule="auto"/>
        <w:textAlignment w:val="baseline"/>
        <w:rPr>
          <w:rFonts w:ascii="Times New Roman" w:hAnsi="Times New Roman" w:eastAsia="Times New Roman" w:cs="Times New Roman"/>
          <w:sz w:val="28"/>
          <w:szCs w:val="28"/>
        </w:rPr>
      </w:pPr>
    </w:p>
    <w:p w14:paraId="7A50992B">
      <w:p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Action Point:</w:t>
      </w:r>
    </w:p>
    <w:p w14:paraId="5A766C38">
      <w:pPr>
        <w:spacing w:after="0" w:line="240" w:lineRule="auto"/>
        <w:textAlignment w:val="baseline"/>
        <w:rPr>
          <w:rFonts w:ascii="Times New Roman" w:hAnsi="Times New Roman" w:eastAsia="Times New Roman" w:cs="Times New Roman"/>
          <w:b/>
          <w:sz w:val="28"/>
          <w:szCs w:val="28"/>
        </w:rPr>
      </w:pPr>
    </w:p>
    <w:p w14:paraId="0110F3B9">
      <w:pPr>
        <w:pStyle w:val="4"/>
        <w:numPr>
          <w:ilvl w:val="0"/>
          <w:numId w:val="7"/>
        </w:num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Facility Health Committee (Drug Distribution Committee) will be established to monitor health facilities and ensure proper management of donated medical supplies.</w:t>
      </w:r>
    </w:p>
    <w:p w14:paraId="10F868E2">
      <w:pPr>
        <w:pStyle w:val="4"/>
        <w:spacing w:after="0" w:line="240" w:lineRule="auto"/>
        <w:textAlignment w:val="baseline"/>
        <w:rPr>
          <w:rFonts w:ascii="Times New Roman" w:hAnsi="Times New Roman" w:eastAsia="Times New Roman" w:cs="Times New Roman"/>
          <w:sz w:val="28"/>
          <w:szCs w:val="28"/>
        </w:rPr>
      </w:pPr>
    </w:p>
    <w:p w14:paraId="02629F4E">
      <w:p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9. Livelihood Restoration Project (LRP) Update</w:t>
      </w:r>
    </w:p>
    <w:p w14:paraId="7A8BCAA0">
      <w:pPr>
        <w:spacing w:after="0" w:line="240" w:lineRule="auto"/>
        <w:textAlignment w:val="baseline"/>
        <w:rPr>
          <w:rFonts w:ascii="Times New Roman" w:hAnsi="Times New Roman" w:eastAsia="Times New Roman" w:cs="Times New Roman"/>
          <w:b/>
          <w:sz w:val="28"/>
          <w:szCs w:val="28"/>
        </w:rPr>
      </w:pPr>
    </w:p>
    <w:p w14:paraId="72288F64">
      <w:pPr>
        <w:pStyle w:val="4"/>
        <w:numPr>
          <w:ilvl w:val="0"/>
          <w:numId w:val="8"/>
        </w:num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Community Empowerment and Agricultural Support;</w:t>
      </w:r>
    </w:p>
    <w:p w14:paraId="63BC5D83">
      <w:pPr>
        <w:pStyle w:val="4"/>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Distribution of wet-season farming inputs, including seeds and manure, will be limited to verified LRP beneficiaries.</w:t>
      </w:r>
    </w:p>
    <w:p w14:paraId="15B395D0">
      <w:pPr>
        <w:pStyle w:val="4"/>
        <w:spacing w:after="0" w:line="240" w:lineRule="auto"/>
        <w:textAlignment w:val="baseline"/>
        <w:rPr>
          <w:rFonts w:ascii="Times New Roman" w:hAnsi="Times New Roman" w:eastAsia="Times New Roman" w:cs="Times New Roman"/>
          <w:sz w:val="28"/>
          <w:szCs w:val="28"/>
        </w:rPr>
      </w:pPr>
    </w:p>
    <w:p w14:paraId="4C5C6403">
      <w:p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10. Quarry Safety and Environmental Management</w:t>
      </w:r>
    </w:p>
    <w:p w14:paraId="0F759B2A">
      <w:pPr>
        <w:pStyle w:val="4"/>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To improve safety within the quarry area:</w:t>
      </w:r>
    </w:p>
    <w:p w14:paraId="2DCE4618">
      <w:pPr>
        <w:pStyle w:val="4"/>
        <w:numPr>
          <w:ilvl w:val="0"/>
          <w:numId w:val="9"/>
        </w:num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Some ponds will remain open to provide water for wildlife.</w:t>
      </w:r>
    </w:p>
    <w:p w14:paraId="5D63C429">
      <w:pPr>
        <w:pStyle w:val="4"/>
        <w:numPr>
          <w:ilvl w:val="0"/>
          <w:numId w:val="9"/>
        </w:num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High-risk ponds will either be filled or fenced to prevent accidents.</w:t>
      </w:r>
    </w:p>
    <w:p w14:paraId="6C8BAFB8">
      <w:pPr>
        <w:pStyle w:val="4"/>
        <w:numPr>
          <w:ilvl w:val="0"/>
          <w:numId w:val="9"/>
        </w:num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Community members are creating unauthorized routes through the bush instead of using the designated access road. This has increased the risk of accidents because haulage drivers only focus on the approved route.</w:t>
      </w:r>
    </w:p>
    <w:p w14:paraId="45E11590">
      <w:pPr>
        <w:pStyle w:val="4"/>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Planned Interventions;</w:t>
      </w:r>
    </w:p>
    <w:p w14:paraId="3E4BF863">
      <w:pPr>
        <w:pStyle w:val="4"/>
        <w:spacing w:after="0" w:line="240" w:lineRule="auto"/>
        <w:textAlignment w:val="baseline"/>
        <w:rPr>
          <w:rFonts w:ascii="Times New Roman" w:hAnsi="Times New Roman" w:eastAsia="Times New Roman" w:cs="Times New Roman"/>
          <w:b/>
          <w:sz w:val="28"/>
          <w:szCs w:val="28"/>
        </w:rPr>
      </w:pPr>
    </w:p>
    <w:p w14:paraId="6705088E">
      <w:pPr>
        <w:pStyle w:val="4"/>
        <w:numPr>
          <w:ilvl w:val="0"/>
          <w:numId w:val="10"/>
        </w:num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A new single-access road linking communities across the quarry to the main wamakko road is under construction.</w:t>
      </w:r>
    </w:p>
    <w:p w14:paraId="47262838">
      <w:pPr>
        <w:pStyle w:val="4"/>
        <w:numPr>
          <w:ilvl w:val="0"/>
          <w:numId w:val="10"/>
        </w:num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Barriers will be installed to prevent illegal diversions.</w:t>
      </w:r>
    </w:p>
    <w:p w14:paraId="1DE1D71E">
      <w:pPr>
        <w:pStyle w:val="4"/>
        <w:numPr>
          <w:ilvl w:val="0"/>
          <w:numId w:val="10"/>
        </w:num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Safety signs will be placed along both existing and new roads.</w:t>
      </w:r>
    </w:p>
    <w:p w14:paraId="7C066D84">
      <w:pPr>
        <w:pStyle w:val="4"/>
        <w:numPr>
          <w:ilvl w:val="0"/>
          <w:numId w:val="10"/>
        </w:num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The new road will improve access during the rainy season.</w:t>
      </w:r>
    </w:p>
    <w:p w14:paraId="1DA45612">
      <w:pPr>
        <w:pStyle w:val="4"/>
        <w:numPr>
          <w:ilvl w:val="0"/>
          <w:numId w:val="10"/>
        </w:num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A parking area for vehicles and motorcycles will be constructed and monitored by security personnel.</w:t>
      </w:r>
    </w:p>
    <w:p w14:paraId="20ACFA01">
      <w:pPr>
        <w:pStyle w:val="4"/>
        <w:spacing w:after="0" w:line="240" w:lineRule="auto"/>
        <w:textAlignment w:val="baseline"/>
        <w:rPr>
          <w:rFonts w:ascii="Times New Roman" w:hAnsi="Times New Roman" w:eastAsia="Times New Roman" w:cs="Times New Roman"/>
          <w:sz w:val="28"/>
          <w:szCs w:val="28"/>
        </w:rPr>
      </w:pPr>
    </w:p>
    <w:p w14:paraId="4486A06B">
      <w:pPr>
        <w:pStyle w:val="4"/>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11</w:t>
      </w:r>
      <w:r>
        <w:rPr>
          <w:rFonts w:ascii="Times New Roman" w:hAnsi="Times New Roman" w:eastAsia="Times New Roman" w:cs="Times New Roman"/>
          <w:sz w:val="28"/>
          <w:szCs w:val="28"/>
        </w:rPr>
        <w:t xml:space="preserve">. </w:t>
      </w:r>
      <w:r>
        <w:rPr>
          <w:rFonts w:ascii="Times New Roman" w:hAnsi="Times New Roman" w:eastAsia="Times New Roman" w:cs="Times New Roman"/>
          <w:b/>
          <w:sz w:val="28"/>
          <w:szCs w:val="28"/>
        </w:rPr>
        <w:t>Chairman's Closing Remarks</w:t>
      </w:r>
    </w:p>
    <w:p w14:paraId="1DEE8606">
      <w:pPr>
        <w:pStyle w:val="4"/>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The Chairman thanked the Social Performance Team for their dedication and commitment to maintaining good relationships with the host communities and promoting the company's Corporate Social Responsibility (CSR) initiatives. He Requested that management to consider expanding current </w:t>
      </w:r>
      <w:r>
        <w:rPr>
          <w:rFonts w:ascii="Times New Roman" w:hAnsi="Times New Roman" w:eastAsia="Times New Roman" w:cs="Times New Roman"/>
          <w:b/>
          <w:sz w:val="28"/>
          <w:szCs w:val="28"/>
        </w:rPr>
        <w:t>CSR programmes</w:t>
      </w:r>
      <w:r>
        <w:rPr>
          <w:rFonts w:ascii="Times New Roman" w:hAnsi="Times New Roman" w:eastAsia="Times New Roman" w:cs="Times New Roman"/>
          <w:sz w:val="28"/>
          <w:szCs w:val="28"/>
        </w:rPr>
        <w:t xml:space="preserve"> to include:</w:t>
      </w:r>
    </w:p>
    <w:p w14:paraId="6298501F">
      <w:pPr>
        <w:pStyle w:val="4"/>
        <w:numPr>
          <w:ilvl w:val="0"/>
          <w:numId w:val="11"/>
        </w:num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Education</w:t>
      </w:r>
    </w:p>
    <w:p w14:paraId="08469B18">
      <w:pPr>
        <w:pStyle w:val="4"/>
        <w:numPr>
          <w:ilvl w:val="2"/>
          <w:numId w:val="11"/>
        </w:num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Extend the school uniform donation programme to schools outside the resettled communities.</w:t>
      </w:r>
    </w:p>
    <w:p w14:paraId="56ACDB53">
      <w:pPr>
        <w:pStyle w:val="4"/>
        <w:numPr>
          <w:ilvl w:val="0"/>
          <w:numId w:val="11"/>
        </w:num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Healthcare; Expand the medical and drug donation programme to the following districts: </w:t>
      </w:r>
      <w:r>
        <w:rPr>
          <w:rFonts w:ascii="Times New Roman" w:hAnsi="Times New Roman" w:eastAsia="Times New Roman" w:cs="Times New Roman"/>
          <w:b/>
          <w:sz w:val="28"/>
          <w:szCs w:val="28"/>
        </w:rPr>
        <w:t>Dundaye, Gumbarawa, Gedawa and Gidan Bubu districts.</w:t>
      </w:r>
    </w:p>
    <w:p w14:paraId="1D45991D">
      <w:pPr>
        <w:spacing w:after="0" w:line="240" w:lineRule="auto"/>
        <w:textAlignment w:val="baseline"/>
        <w:rPr>
          <w:rFonts w:ascii="Times New Roman" w:hAnsi="Times New Roman" w:eastAsia="Times New Roman" w:cs="Times New Roman"/>
          <w:sz w:val="28"/>
          <w:szCs w:val="28"/>
        </w:rPr>
      </w:pPr>
    </w:p>
    <w:p w14:paraId="6EAF044F">
      <w:pPr>
        <w:spacing w:after="0" w:line="240" w:lineRule="auto"/>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12. Closing Prayer</w:t>
      </w:r>
    </w:p>
    <w:p w14:paraId="4B45334C">
      <w:pPr>
        <w:spacing w:after="0" w:line="240" w:lineRule="auto"/>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The meeting ended with closing remarks from the Chairman, followed by a closing prayer.</w:t>
      </w:r>
    </w:p>
    <w:p w14:paraId="1BDDB9DC">
      <w:pPr>
        <w:rPr>
          <w:sz w:val="28"/>
          <w:szCs w:val="28"/>
        </w:rPr>
      </w:pPr>
    </w:p>
    <w:p w14:paraId="371E0ECB">
      <w:pPr>
        <w:rPr>
          <w:b/>
          <w:sz w:val="28"/>
          <w:szCs w:val="28"/>
        </w:rPr>
      </w:pPr>
      <w:r>
        <w:rPr>
          <w:b/>
          <w:sz w:val="28"/>
          <w:szCs w:val="28"/>
        </w:rPr>
        <w:t>Meeting Adjourned.</w:t>
      </w: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64D79"/>
    <w:multiLevelType w:val="multilevel"/>
    <w:tmpl w:val="01264D79"/>
    <w:lvl w:ilvl="0" w:tentative="0">
      <w:start w:val="1"/>
      <w:numFmt w:val="upperLetter"/>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B9A4DFB"/>
    <w:multiLevelType w:val="multilevel"/>
    <w:tmpl w:val="0B9A4DFB"/>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E4D4537"/>
    <w:multiLevelType w:val="multilevel"/>
    <w:tmpl w:val="0E4D4537"/>
    <w:lvl w:ilvl="0" w:tentative="0">
      <w:start w:val="1"/>
      <w:numFmt w:val="upperLetter"/>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F456295"/>
    <w:multiLevelType w:val="multilevel"/>
    <w:tmpl w:val="1F456295"/>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207B49AB"/>
    <w:multiLevelType w:val="multilevel"/>
    <w:tmpl w:val="207B49AB"/>
    <w:lvl w:ilvl="0" w:tentative="0">
      <w:start w:val="1"/>
      <w:numFmt w:val="bullet"/>
      <w:lvlText w:val=""/>
      <w:lvlJc w:val="left"/>
      <w:pPr>
        <w:ind w:left="720" w:hanging="360"/>
      </w:pPr>
      <w:rPr>
        <w:rFonts w:hint="default" w:ascii="Wingdings" w:hAnsi="Wingdings"/>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B5B5BCE"/>
    <w:multiLevelType w:val="multilevel"/>
    <w:tmpl w:val="3B5B5BCE"/>
    <w:lvl w:ilvl="0" w:tentative="0">
      <w:start w:val="2"/>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33D2DAD"/>
    <w:multiLevelType w:val="multilevel"/>
    <w:tmpl w:val="433D2DA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529D0B16"/>
    <w:multiLevelType w:val="multilevel"/>
    <w:tmpl w:val="529D0B16"/>
    <w:lvl w:ilvl="0" w:tentative="0">
      <w:start w:val="5"/>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66DD71D3"/>
    <w:multiLevelType w:val="multilevel"/>
    <w:tmpl w:val="66DD71D3"/>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74762867"/>
    <w:multiLevelType w:val="multilevel"/>
    <w:tmpl w:val="74762867"/>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78C86210"/>
    <w:multiLevelType w:val="multilevel"/>
    <w:tmpl w:val="78C86210"/>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6"/>
  </w:num>
  <w:num w:numId="2">
    <w:abstractNumId w:val="3"/>
  </w:num>
  <w:num w:numId="3">
    <w:abstractNumId w:val="7"/>
  </w:num>
  <w:num w:numId="4">
    <w:abstractNumId w:val="8"/>
  </w:num>
  <w:num w:numId="5">
    <w:abstractNumId w:val="5"/>
  </w:num>
  <w:num w:numId="6">
    <w:abstractNumId w:val="1"/>
  </w:num>
  <w:num w:numId="7">
    <w:abstractNumId w:val="9"/>
  </w:num>
  <w:num w:numId="8">
    <w:abstractNumId w:val="0"/>
  </w:num>
  <w:num w:numId="9">
    <w:abstractNumId w:val="2"/>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313"/>
    <w:rsid w:val="00005695"/>
    <w:rsid w:val="00162FB5"/>
    <w:rsid w:val="001A384E"/>
    <w:rsid w:val="001B6313"/>
    <w:rsid w:val="002B10B7"/>
    <w:rsid w:val="002C7A94"/>
    <w:rsid w:val="002D5AB0"/>
    <w:rsid w:val="003B5A54"/>
    <w:rsid w:val="00441426"/>
    <w:rsid w:val="004613EA"/>
    <w:rsid w:val="005D3DCE"/>
    <w:rsid w:val="00620159"/>
    <w:rsid w:val="007626D6"/>
    <w:rsid w:val="007D03FC"/>
    <w:rsid w:val="00886910"/>
    <w:rsid w:val="0089457F"/>
    <w:rsid w:val="009029C4"/>
    <w:rsid w:val="009C679E"/>
    <w:rsid w:val="00B37FCA"/>
    <w:rsid w:val="00C26129"/>
    <w:rsid w:val="00C504C0"/>
    <w:rsid w:val="00C86164"/>
    <w:rsid w:val="00D14486"/>
    <w:rsid w:val="00DD1570"/>
    <w:rsid w:val="00EC74F4"/>
    <w:rsid w:val="00F04C4A"/>
    <w:rsid w:val="3BBE2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713</Words>
  <Characters>4289</Characters>
  <Lines>35</Lines>
  <Paragraphs>10</Paragraphs>
  <TotalTime>23</TotalTime>
  <ScaleCrop>false</ScaleCrop>
  <LinksUpToDate>false</LinksUpToDate>
  <CharactersWithSpaces>4942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2026-06-25T08:41:00Z</dcterms:created>
  <dc:creator>Surayya SM. Mustapha</dc:creator>
  <cp:lastModifiedBy>shittu wasiu</cp:lastModifiedBy>
  <dcterms:modified xsi:type="dcterms:W3CDTF">2026-06-29T18:05:29Z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0340251B46E74FF0924337C2C2B54DEC_13</vt:lpwstr>
  </property>
</Properties>
</file>