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24EF" w:rsidRDefault="008B5DF7" w:rsidP="00130C90">
      <w:pPr>
        <w:pStyle w:val="NoSpacing"/>
        <w:jc w:val="center"/>
        <w:rPr>
          <w:b/>
        </w:rPr>
      </w:pPr>
      <w:r w:rsidRPr="00CC7FCE">
        <w:rPr>
          <w:b/>
        </w:rPr>
        <w:t>CSO’S INPUT INTO THE 2026 THE NEITI’S WORK PLAN</w:t>
      </w:r>
      <w:bookmarkStart w:id="0" w:name="_GoBack"/>
      <w:bookmarkEnd w:id="0"/>
    </w:p>
    <w:p w:rsidR="00CC7FCE" w:rsidRPr="00CC7FCE" w:rsidRDefault="00CC7FCE" w:rsidP="00130C90">
      <w:pPr>
        <w:pStyle w:val="NoSpacing"/>
        <w:jc w:val="center"/>
        <w:rPr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70"/>
        <w:gridCol w:w="1970"/>
        <w:gridCol w:w="2215"/>
        <w:gridCol w:w="1924"/>
        <w:gridCol w:w="1763"/>
        <w:gridCol w:w="1654"/>
        <w:gridCol w:w="1754"/>
      </w:tblGrid>
      <w:tr w:rsidR="00130C90" w:rsidRPr="00765087" w:rsidTr="00A75501">
        <w:tc>
          <w:tcPr>
            <w:tcW w:w="1679" w:type="dxa"/>
            <w:vMerge w:val="restart"/>
          </w:tcPr>
          <w:p w:rsidR="00130C90" w:rsidRPr="00CC7FCE" w:rsidRDefault="00130C90" w:rsidP="00130C90">
            <w:pPr>
              <w:pStyle w:val="NoSpacing"/>
              <w:jc w:val="center"/>
              <w:rPr>
                <w:b/>
              </w:rPr>
            </w:pPr>
            <w:r w:rsidRPr="00CC7FCE">
              <w:rPr>
                <w:b/>
              </w:rPr>
              <w:t>Activities</w:t>
            </w:r>
          </w:p>
        </w:tc>
        <w:tc>
          <w:tcPr>
            <w:tcW w:w="11271" w:type="dxa"/>
            <w:gridSpan w:val="6"/>
          </w:tcPr>
          <w:p w:rsidR="00130C90" w:rsidRPr="00F54FF6" w:rsidRDefault="00130C90" w:rsidP="00130C90">
            <w:pPr>
              <w:pStyle w:val="NoSpacing"/>
              <w:jc w:val="center"/>
              <w:rPr>
                <w:b/>
              </w:rPr>
            </w:pPr>
            <w:r w:rsidRPr="00F54FF6">
              <w:rPr>
                <w:b/>
              </w:rPr>
              <w:t>THEMES</w:t>
            </w:r>
          </w:p>
        </w:tc>
      </w:tr>
      <w:tr w:rsidR="00765087" w:rsidRPr="00765087" w:rsidTr="00765087">
        <w:tc>
          <w:tcPr>
            <w:tcW w:w="1679" w:type="dxa"/>
            <w:vMerge/>
          </w:tcPr>
          <w:p w:rsidR="00942B93" w:rsidRPr="00765087" w:rsidRDefault="00942B93" w:rsidP="00765087">
            <w:pPr>
              <w:pStyle w:val="NoSpacing"/>
            </w:pPr>
          </w:p>
        </w:tc>
        <w:tc>
          <w:tcPr>
            <w:tcW w:w="1975" w:type="dxa"/>
          </w:tcPr>
          <w:p w:rsidR="00942B93" w:rsidRPr="00CC7FCE" w:rsidRDefault="0031023D" w:rsidP="00765087">
            <w:pPr>
              <w:pStyle w:val="NoSpacing"/>
              <w:rPr>
                <w:b/>
              </w:rPr>
            </w:pPr>
            <w:r w:rsidRPr="00CC7FCE">
              <w:rPr>
                <w:b/>
              </w:rPr>
              <w:t xml:space="preserve">Legal framework, </w:t>
            </w:r>
            <w:r w:rsidR="00942B93" w:rsidRPr="00CC7FCE">
              <w:rPr>
                <w:b/>
              </w:rPr>
              <w:t>Transparency, Data Use &amp; Public Awareness</w:t>
            </w:r>
          </w:p>
        </w:tc>
        <w:tc>
          <w:tcPr>
            <w:tcW w:w="2221" w:type="dxa"/>
          </w:tcPr>
          <w:p w:rsidR="00942B93" w:rsidRPr="00CC7FCE" w:rsidRDefault="00942B93" w:rsidP="00765087">
            <w:pPr>
              <w:pStyle w:val="NoSpacing"/>
              <w:rPr>
                <w:b/>
              </w:rPr>
            </w:pPr>
            <w:r w:rsidRPr="00CC7FCE">
              <w:rPr>
                <w:b/>
              </w:rPr>
              <w:t>Accountability &amp; Follow-Up Monitoring</w:t>
            </w:r>
          </w:p>
        </w:tc>
        <w:tc>
          <w:tcPr>
            <w:tcW w:w="1930" w:type="dxa"/>
          </w:tcPr>
          <w:p w:rsidR="00942B93" w:rsidRPr="00CC7FCE" w:rsidRDefault="00942B93" w:rsidP="00765087">
            <w:pPr>
              <w:pStyle w:val="NoSpacing"/>
              <w:rPr>
                <w:b/>
                <w:bCs/>
              </w:rPr>
            </w:pPr>
            <w:r w:rsidRPr="00CC7FCE">
              <w:rPr>
                <w:b/>
                <w:bCs/>
              </w:rPr>
              <w:t>Beneficial Ownership Transparency</w:t>
            </w:r>
          </w:p>
        </w:tc>
        <w:tc>
          <w:tcPr>
            <w:tcW w:w="1768" w:type="dxa"/>
          </w:tcPr>
          <w:p w:rsidR="00942B93" w:rsidRPr="00CC7FCE" w:rsidRDefault="00942B93" w:rsidP="00765087">
            <w:pPr>
              <w:pStyle w:val="NoSpacing"/>
              <w:rPr>
                <w:b/>
                <w:bCs/>
              </w:rPr>
            </w:pPr>
            <w:r w:rsidRPr="00CC7FCE">
              <w:rPr>
                <w:b/>
                <w:bCs/>
              </w:rPr>
              <w:t>CSO Coordination, Learning &amp; Partnerships</w:t>
            </w:r>
          </w:p>
        </w:tc>
        <w:tc>
          <w:tcPr>
            <w:tcW w:w="1654" w:type="dxa"/>
          </w:tcPr>
          <w:p w:rsidR="00942B93" w:rsidRPr="00CC7FCE" w:rsidRDefault="00942B93" w:rsidP="00765087">
            <w:pPr>
              <w:pStyle w:val="NoSpacing"/>
              <w:rPr>
                <w:b/>
                <w:bCs/>
              </w:rPr>
            </w:pPr>
            <w:r w:rsidRPr="00CC7FCE">
              <w:rPr>
                <w:b/>
                <w:bCs/>
              </w:rPr>
              <w:t>Monitoring, Evaluation &amp; Learning</w:t>
            </w:r>
          </w:p>
        </w:tc>
        <w:tc>
          <w:tcPr>
            <w:tcW w:w="1723" w:type="dxa"/>
          </w:tcPr>
          <w:p w:rsidR="00942B93" w:rsidRPr="00CC7FCE" w:rsidRDefault="00942B93" w:rsidP="00765087">
            <w:pPr>
              <w:pStyle w:val="NoSpacing"/>
              <w:rPr>
                <w:b/>
                <w:bCs/>
              </w:rPr>
            </w:pPr>
            <w:r w:rsidRPr="00CC7FCE">
              <w:rPr>
                <w:b/>
                <w:bCs/>
              </w:rPr>
              <w:t>Media &amp; Communications</w:t>
            </w:r>
          </w:p>
        </w:tc>
      </w:tr>
      <w:tr w:rsidR="00CC7FCE" w:rsidRPr="00765087" w:rsidTr="00CC7FCE">
        <w:tc>
          <w:tcPr>
            <w:tcW w:w="1679" w:type="dxa"/>
            <w:shd w:val="clear" w:color="auto" w:fill="C5E0B3" w:themeFill="accent6" w:themeFillTint="66"/>
          </w:tcPr>
          <w:p w:rsidR="00942B93" w:rsidRPr="00765087" w:rsidRDefault="0031023D" w:rsidP="00765087">
            <w:pPr>
              <w:pStyle w:val="NoSpacing"/>
            </w:pPr>
            <w:r>
              <w:t xml:space="preserve">Secured </w:t>
            </w:r>
            <w:r w:rsidR="00942B93" w:rsidRPr="00765087">
              <w:t xml:space="preserve">Funded activities </w:t>
            </w:r>
          </w:p>
        </w:tc>
        <w:tc>
          <w:tcPr>
            <w:tcW w:w="1975" w:type="dxa"/>
            <w:shd w:val="clear" w:color="auto" w:fill="C5E0B3" w:themeFill="accent6" w:themeFillTint="66"/>
          </w:tcPr>
          <w:p w:rsidR="00942B93" w:rsidRPr="00765087" w:rsidRDefault="00942B93" w:rsidP="00765087">
            <w:pPr>
              <w:pStyle w:val="NoSpacing"/>
            </w:pPr>
          </w:p>
        </w:tc>
        <w:tc>
          <w:tcPr>
            <w:tcW w:w="2221" w:type="dxa"/>
            <w:shd w:val="clear" w:color="auto" w:fill="C5E0B3" w:themeFill="accent6" w:themeFillTint="66"/>
          </w:tcPr>
          <w:p w:rsidR="00942B93" w:rsidRPr="00765087" w:rsidRDefault="0031023D" w:rsidP="00765087">
            <w:pPr>
              <w:pStyle w:val="NoSpacing"/>
            </w:pPr>
            <w:r>
              <w:t xml:space="preserve">Tackling insecurity in the extractive sector </w:t>
            </w:r>
          </w:p>
        </w:tc>
        <w:tc>
          <w:tcPr>
            <w:tcW w:w="1930" w:type="dxa"/>
            <w:shd w:val="clear" w:color="auto" w:fill="C5E0B3" w:themeFill="accent6" w:themeFillTint="66"/>
          </w:tcPr>
          <w:p w:rsidR="00942B93" w:rsidRPr="00765087" w:rsidRDefault="00942B93" w:rsidP="00765087">
            <w:pPr>
              <w:pStyle w:val="NoSpacing"/>
            </w:pPr>
          </w:p>
        </w:tc>
        <w:tc>
          <w:tcPr>
            <w:tcW w:w="1768" w:type="dxa"/>
            <w:shd w:val="clear" w:color="auto" w:fill="C5E0B3" w:themeFill="accent6" w:themeFillTint="66"/>
          </w:tcPr>
          <w:p w:rsidR="00942B93" w:rsidRPr="00765087" w:rsidRDefault="00942B93" w:rsidP="00765087">
            <w:pPr>
              <w:pStyle w:val="NoSpacing"/>
            </w:pPr>
          </w:p>
        </w:tc>
        <w:tc>
          <w:tcPr>
            <w:tcW w:w="1654" w:type="dxa"/>
            <w:shd w:val="clear" w:color="auto" w:fill="C5E0B3" w:themeFill="accent6" w:themeFillTint="66"/>
          </w:tcPr>
          <w:p w:rsidR="00942B93" w:rsidRPr="00765087" w:rsidRDefault="00942B93" w:rsidP="00765087">
            <w:pPr>
              <w:pStyle w:val="NoSpacing"/>
            </w:pPr>
          </w:p>
        </w:tc>
        <w:tc>
          <w:tcPr>
            <w:tcW w:w="1723" w:type="dxa"/>
            <w:shd w:val="clear" w:color="auto" w:fill="C5E0B3" w:themeFill="accent6" w:themeFillTint="66"/>
          </w:tcPr>
          <w:p w:rsidR="00942B93" w:rsidRPr="00765087" w:rsidRDefault="00942B93" w:rsidP="00765087">
            <w:pPr>
              <w:pStyle w:val="NoSpacing"/>
            </w:pPr>
          </w:p>
        </w:tc>
      </w:tr>
      <w:tr w:rsidR="00CC7FCE" w:rsidRPr="00765087" w:rsidTr="00CC7FCE">
        <w:tc>
          <w:tcPr>
            <w:tcW w:w="1679" w:type="dxa"/>
            <w:shd w:val="clear" w:color="auto" w:fill="F7CAAC" w:themeFill="accent2" w:themeFillTint="66"/>
          </w:tcPr>
          <w:p w:rsidR="00942B93" w:rsidRPr="00765087" w:rsidRDefault="00942B93" w:rsidP="00765087">
            <w:pPr>
              <w:pStyle w:val="NoSpacing"/>
            </w:pPr>
            <w:r w:rsidRPr="00765087">
              <w:t>Ongoing activities</w:t>
            </w:r>
          </w:p>
        </w:tc>
        <w:tc>
          <w:tcPr>
            <w:tcW w:w="1975" w:type="dxa"/>
            <w:shd w:val="clear" w:color="auto" w:fill="F7CAAC" w:themeFill="accent2" w:themeFillTint="66"/>
          </w:tcPr>
          <w:p w:rsidR="00942B93" w:rsidRPr="00765087" w:rsidRDefault="0031023D" w:rsidP="00765087">
            <w:pPr>
              <w:pStyle w:val="NoSpacing"/>
            </w:pPr>
            <w:r>
              <w:t>Review of the legal and admistrative frameworks</w:t>
            </w:r>
          </w:p>
        </w:tc>
        <w:tc>
          <w:tcPr>
            <w:tcW w:w="2221" w:type="dxa"/>
            <w:shd w:val="clear" w:color="auto" w:fill="F7CAAC" w:themeFill="accent2" w:themeFillTint="66"/>
          </w:tcPr>
          <w:p w:rsidR="00942B93" w:rsidRPr="00765087" w:rsidRDefault="00942B93" w:rsidP="00765087">
            <w:pPr>
              <w:pStyle w:val="NoSpacing"/>
            </w:pPr>
          </w:p>
        </w:tc>
        <w:tc>
          <w:tcPr>
            <w:tcW w:w="1930" w:type="dxa"/>
            <w:shd w:val="clear" w:color="auto" w:fill="F7CAAC" w:themeFill="accent2" w:themeFillTint="66"/>
          </w:tcPr>
          <w:p w:rsidR="00942B93" w:rsidRPr="00765087" w:rsidRDefault="00942B93" w:rsidP="00765087">
            <w:pPr>
              <w:pStyle w:val="NoSpacing"/>
            </w:pPr>
          </w:p>
        </w:tc>
        <w:tc>
          <w:tcPr>
            <w:tcW w:w="1768" w:type="dxa"/>
            <w:shd w:val="clear" w:color="auto" w:fill="F7CAAC" w:themeFill="accent2" w:themeFillTint="66"/>
          </w:tcPr>
          <w:p w:rsidR="00942B93" w:rsidRPr="00765087" w:rsidRDefault="00CC7FCE" w:rsidP="00765087">
            <w:pPr>
              <w:pStyle w:val="NoSpacing"/>
            </w:pPr>
            <w:r>
              <w:t>Capacity strengthening</w:t>
            </w:r>
            <w:r w:rsidR="0031023D">
              <w:t xml:space="preserve"> of relevant stakeholders </w:t>
            </w:r>
            <w:r>
              <w:t xml:space="preserve">on inclusion in the extractive industry </w:t>
            </w:r>
          </w:p>
        </w:tc>
        <w:tc>
          <w:tcPr>
            <w:tcW w:w="1654" w:type="dxa"/>
            <w:shd w:val="clear" w:color="auto" w:fill="F7CAAC" w:themeFill="accent2" w:themeFillTint="66"/>
          </w:tcPr>
          <w:p w:rsidR="00942B93" w:rsidRPr="00765087" w:rsidRDefault="00942B93" w:rsidP="00765087">
            <w:pPr>
              <w:pStyle w:val="NoSpacing"/>
            </w:pPr>
          </w:p>
        </w:tc>
        <w:tc>
          <w:tcPr>
            <w:tcW w:w="1723" w:type="dxa"/>
            <w:shd w:val="clear" w:color="auto" w:fill="F7CAAC" w:themeFill="accent2" w:themeFillTint="66"/>
          </w:tcPr>
          <w:p w:rsidR="00942B93" w:rsidRPr="00765087" w:rsidRDefault="00942B93" w:rsidP="00765087">
            <w:pPr>
              <w:pStyle w:val="NoSpacing"/>
            </w:pPr>
          </w:p>
        </w:tc>
      </w:tr>
      <w:tr w:rsidR="0031023D" w:rsidRPr="00765087" w:rsidTr="00765087">
        <w:tc>
          <w:tcPr>
            <w:tcW w:w="1679" w:type="dxa"/>
            <w:vMerge w:val="restart"/>
            <w:shd w:val="clear" w:color="auto" w:fill="D9D9D9" w:themeFill="background1" w:themeFillShade="D9"/>
          </w:tcPr>
          <w:p w:rsidR="00942B93" w:rsidRPr="00765087" w:rsidRDefault="00942B93" w:rsidP="00765087">
            <w:pPr>
              <w:pStyle w:val="NoSpacing"/>
            </w:pPr>
            <w:r w:rsidRPr="00765087">
              <w:t>Unfunded activities</w:t>
            </w:r>
          </w:p>
        </w:tc>
        <w:tc>
          <w:tcPr>
            <w:tcW w:w="1975" w:type="dxa"/>
            <w:shd w:val="clear" w:color="auto" w:fill="D9D9D9" w:themeFill="background1" w:themeFillShade="D9"/>
          </w:tcPr>
          <w:p w:rsidR="00942B93" w:rsidRPr="00765087" w:rsidRDefault="00942B93" w:rsidP="00765087">
            <w:pPr>
              <w:pStyle w:val="NoSpacing"/>
            </w:pPr>
            <w:r w:rsidRPr="00765087">
              <w:t>Simplified interpretation of NEITI reports for public understanding</w:t>
            </w:r>
          </w:p>
        </w:tc>
        <w:tc>
          <w:tcPr>
            <w:tcW w:w="2221" w:type="dxa"/>
            <w:shd w:val="clear" w:color="auto" w:fill="D9D9D9" w:themeFill="background1" w:themeFillShade="D9"/>
          </w:tcPr>
          <w:p w:rsidR="00942B93" w:rsidRDefault="00942B93" w:rsidP="00765087">
            <w:pPr>
              <w:pStyle w:val="NoSpacing"/>
            </w:pPr>
            <w:r w:rsidRPr="00765087">
              <w:t>Tracking implementation of NEITI audit recommendations</w:t>
            </w:r>
            <w:r w:rsidR="0031023D">
              <w:t xml:space="preserve"> </w:t>
            </w:r>
          </w:p>
          <w:p w:rsidR="0031023D" w:rsidRPr="00765087" w:rsidRDefault="0031023D" w:rsidP="00765087">
            <w:pPr>
              <w:pStyle w:val="NoSpacing"/>
            </w:pPr>
          </w:p>
        </w:tc>
        <w:tc>
          <w:tcPr>
            <w:tcW w:w="1930" w:type="dxa"/>
            <w:shd w:val="clear" w:color="auto" w:fill="D9D9D9" w:themeFill="background1" w:themeFillShade="D9"/>
          </w:tcPr>
          <w:p w:rsidR="00942B93" w:rsidRPr="00765087" w:rsidRDefault="00942B93" w:rsidP="00765087">
            <w:pPr>
              <w:pStyle w:val="NoSpacing"/>
            </w:pPr>
            <w:r w:rsidRPr="00765087">
              <w:t xml:space="preserve">Desk review of Beneficial </w:t>
            </w:r>
            <w:r w:rsidRPr="00765087">
              <w:t>Ownership disclosures</w:t>
            </w:r>
          </w:p>
        </w:tc>
        <w:tc>
          <w:tcPr>
            <w:tcW w:w="1768" w:type="dxa"/>
            <w:shd w:val="clear" w:color="auto" w:fill="D9D9D9" w:themeFill="background1" w:themeFillShade="D9"/>
          </w:tcPr>
          <w:p w:rsidR="00942B93" w:rsidRPr="00765087" w:rsidRDefault="00942B93" w:rsidP="00765087">
            <w:pPr>
              <w:pStyle w:val="NoSpacing"/>
            </w:pPr>
            <w:r w:rsidRPr="00765087">
              <w:t>Virtual CSO coalition meetings</w:t>
            </w:r>
          </w:p>
        </w:tc>
        <w:tc>
          <w:tcPr>
            <w:tcW w:w="1654" w:type="dxa"/>
            <w:shd w:val="clear" w:color="auto" w:fill="D9D9D9" w:themeFill="background1" w:themeFillShade="D9"/>
          </w:tcPr>
          <w:p w:rsidR="00942B93" w:rsidRPr="00765087" w:rsidRDefault="00942B93" w:rsidP="00765087">
            <w:pPr>
              <w:pStyle w:val="NoSpacing"/>
            </w:pPr>
            <w:r w:rsidRPr="00765087">
              <w:t>CSO self-assessment of advocacy impact</w:t>
            </w:r>
          </w:p>
        </w:tc>
        <w:tc>
          <w:tcPr>
            <w:tcW w:w="1723" w:type="dxa"/>
            <w:shd w:val="clear" w:color="auto" w:fill="D9D9D9" w:themeFill="background1" w:themeFillShade="D9"/>
          </w:tcPr>
          <w:p w:rsidR="00942B93" w:rsidRPr="00765087" w:rsidRDefault="00942B93" w:rsidP="00765087">
            <w:pPr>
              <w:pStyle w:val="NoSpacing"/>
            </w:pPr>
            <w:r w:rsidRPr="00765087">
              <w:t>Journalist briefings using NEITI data</w:t>
            </w:r>
          </w:p>
        </w:tc>
      </w:tr>
      <w:tr w:rsidR="0031023D" w:rsidRPr="00765087" w:rsidTr="00765087">
        <w:tc>
          <w:tcPr>
            <w:tcW w:w="1679" w:type="dxa"/>
            <w:vMerge/>
            <w:shd w:val="clear" w:color="auto" w:fill="D9D9D9" w:themeFill="background1" w:themeFillShade="D9"/>
          </w:tcPr>
          <w:p w:rsidR="00942B93" w:rsidRPr="00765087" w:rsidRDefault="00942B93" w:rsidP="00765087">
            <w:pPr>
              <w:pStyle w:val="NoSpacing"/>
            </w:pPr>
          </w:p>
        </w:tc>
        <w:tc>
          <w:tcPr>
            <w:tcW w:w="1975" w:type="dxa"/>
            <w:shd w:val="clear" w:color="auto" w:fill="D9D9D9" w:themeFill="background1" w:themeFillShade="D9"/>
          </w:tcPr>
          <w:p w:rsidR="00942B93" w:rsidRPr="00765087" w:rsidRDefault="00942B93" w:rsidP="00765087">
            <w:pPr>
              <w:pStyle w:val="NoSpacing"/>
            </w:pPr>
            <w:r w:rsidRPr="00765087">
              <w:t>Digital and social media explainers on extractive revenues</w:t>
            </w:r>
          </w:p>
        </w:tc>
        <w:tc>
          <w:tcPr>
            <w:tcW w:w="2221" w:type="dxa"/>
            <w:shd w:val="clear" w:color="auto" w:fill="D9D9D9" w:themeFill="background1" w:themeFillShade="D9"/>
          </w:tcPr>
          <w:p w:rsidR="00942B93" w:rsidRPr="00765087" w:rsidRDefault="00942B93" w:rsidP="00765087">
            <w:pPr>
              <w:pStyle w:val="NoSpacing"/>
            </w:pPr>
            <w:r w:rsidRPr="00765087">
              <w:t>Publication of MDA compliance scorecards (desk-based)</w:t>
            </w:r>
          </w:p>
        </w:tc>
        <w:tc>
          <w:tcPr>
            <w:tcW w:w="1930" w:type="dxa"/>
            <w:shd w:val="clear" w:color="auto" w:fill="D9D9D9" w:themeFill="background1" w:themeFillShade="D9"/>
          </w:tcPr>
          <w:p w:rsidR="00942B93" w:rsidRPr="00765087" w:rsidRDefault="00942B93" w:rsidP="00765087">
            <w:pPr>
              <w:pStyle w:val="NoSpacing"/>
            </w:pPr>
            <w:r w:rsidRPr="00765087">
              <w:t>Identification of ownership red flags and risks</w:t>
            </w:r>
          </w:p>
        </w:tc>
        <w:tc>
          <w:tcPr>
            <w:tcW w:w="1768" w:type="dxa"/>
            <w:shd w:val="clear" w:color="auto" w:fill="D9D9D9" w:themeFill="background1" w:themeFillShade="D9"/>
          </w:tcPr>
          <w:p w:rsidR="00942B93" w:rsidRPr="00765087" w:rsidRDefault="00942B93" w:rsidP="00765087">
            <w:pPr>
              <w:pStyle w:val="NoSpacing"/>
            </w:pPr>
            <w:r w:rsidRPr="00765087">
              <w:t>Joint CSO statements on transparency issues</w:t>
            </w:r>
          </w:p>
        </w:tc>
        <w:tc>
          <w:tcPr>
            <w:tcW w:w="1654" w:type="dxa"/>
            <w:shd w:val="clear" w:color="auto" w:fill="D9D9D9" w:themeFill="background1" w:themeFillShade="D9"/>
          </w:tcPr>
          <w:p w:rsidR="00942B93" w:rsidRPr="00765087" w:rsidRDefault="00942B93" w:rsidP="00765087">
            <w:pPr>
              <w:pStyle w:val="NoSpacing"/>
            </w:pPr>
            <w:r w:rsidRPr="00765087">
              <w:t>Documentation of success stories and challenges</w:t>
            </w:r>
          </w:p>
        </w:tc>
        <w:tc>
          <w:tcPr>
            <w:tcW w:w="1723" w:type="dxa"/>
            <w:shd w:val="clear" w:color="auto" w:fill="D9D9D9" w:themeFill="background1" w:themeFillShade="D9"/>
          </w:tcPr>
          <w:p w:rsidR="00942B93" w:rsidRPr="00765087" w:rsidRDefault="00942B93" w:rsidP="00765087">
            <w:pPr>
              <w:pStyle w:val="NoSpacing"/>
            </w:pPr>
            <w:r w:rsidRPr="00765087">
              <w:t>Media fact-checking of extractive sector claims</w:t>
            </w:r>
          </w:p>
        </w:tc>
      </w:tr>
      <w:tr w:rsidR="0031023D" w:rsidRPr="00765087" w:rsidTr="00765087">
        <w:tc>
          <w:tcPr>
            <w:tcW w:w="1679" w:type="dxa"/>
            <w:vMerge/>
            <w:shd w:val="clear" w:color="auto" w:fill="D9D9D9" w:themeFill="background1" w:themeFillShade="D9"/>
          </w:tcPr>
          <w:p w:rsidR="00942B93" w:rsidRPr="00765087" w:rsidRDefault="00942B93" w:rsidP="00765087">
            <w:pPr>
              <w:pStyle w:val="NoSpacing"/>
            </w:pPr>
          </w:p>
        </w:tc>
        <w:tc>
          <w:tcPr>
            <w:tcW w:w="1975" w:type="dxa"/>
            <w:shd w:val="clear" w:color="auto" w:fill="D9D9D9" w:themeFill="background1" w:themeFillShade="D9"/>
          </w:tcPr>
          <w:p w:rsidR="00942B93" w:rsidRPr="00765087" w:rsidRDefault="00942B93" w:rsidP="00765087">
            <w:pPr>
              <w:pStyle w:val="NoSpacing"/>
            </w:pPr>
            <w:r w:rsidRPr="00765087">
              <w:t>Publication of op-eds, blogs, and articles using NEITI data</w:t>
            </w:r>
          </w:p>
        </w:tc>
        <w:tc>
          <w:tcPr>
            <w:tcW w:w="2221" w:type="dxa"/>
            <w:shd w:val="clear" w:color="auto" w:fill="D9D9D9" w:themeFill="background1" w:themeFillShade="D9"/>
          </w:tcPr>
          <w:p w:rsidR="00942B93" w:rsidRPr="00765087" w:rsidRDefault="00942B93" w:rsidP="00765087">
            <w:pPr>
              <w:pStyle w:val="NoSpacing"/>
            </w:pPr>
            <w:r w:rsidRPr="00765087">
              <w:t>Fact-checking public claims using NEITI evidence</w:t>
            </w:r>
          </w:p>
        </w:tc>
        <w:tc>
          <w:tcPr>
            <w:tcW w:w="1930" w:type="dxa"/>
            <w:shd w:val="clear" w:color="auto" w:fill="D9D9D9" w:themeFill="background1" w:themeFillShade="D9"/>
          </w:tcPr>
          <w:p w:rsidR="00942B93" w:rsidRPr="00765087" w:rsidRDefault="00942B93" w:rsidP="00765087">
            <w:pPr>
              <w:pStyle w:val="NoSpacing"/>
            </w:pPr>
            <w:r w:rsidRPr="00765087">
              <w:t>Public education on company ownership in extractives</w:t>
            </w:r>
          </w:p>
        </w:tc>
        <w:tc>
          <w:tcPr>
            <w:tcW w:w="1768" w:type="dxa"/>
            <w:shd w:val="clear" w:color="auto" w:fill="D9D9D9" w:themeFill="background1" w:themeFillShade="D9"/>
          </w:tcPr>
          <w:p w:rsidR="00942B93" w:rsidRPr="00765087" w:rsidRDefault="00942B93" w:rsidP="00765087">
            <w:pPr>
              <w:pStyle w:val="NoSpacing"/>
            </w:pPr>
            <w:r w:rsidRPr="00765087">
              <w:t>Peer learning and experience sharing</w:t>
            </w:r>
          </w:p>
        </w:tc>
        <w:tc>
          <w:tcPr>
            <w:tcW w:w="1654" w:type="dxa"/>
            <w:shd w:val="clear" w:color="auto" w:fill="D9D9D9" w:themeFill="background1" w:themeFillShade="D9"/>
          </w:tcPr>
          <w:p w:rsidR="00942B93" w:rsidRPr="00765087" w:rsidRDefault="00942B93" w:rsidP="00765087">
            <w:pPr>
              <w:pStyle w:val="NoSpacing"/>
            </w:pPr>
            <w:r w:rsidRPr="00765087">
              <w:t>Peer review of advocacy strategies</w:t>
            </w:r>
          </w:p>
        </w:tc>
        <w:tc>
          <w:tcPr>
            <w:tcW w:w="1723" w:type="dxa"/>
            <w:shd w:val="clear" w:color="auto" w:fill="D9D9D9" w:themeFill="background1" w:themeFillShade="D9"/>
          </w:tcPr>
          <w:p w:rsidR="00942B93" w:rsidRPr="00765087" w:rsidRDefault="00942B93" w:rsidP="00765087">
            <w:pPr>
              <w:pStyle w:val="NoSpacing"/>
            </w:pPr>
            <w:r w:rsidRPr="00765087">
              <w:t>Monitoring extractive governance media coverage</w:t>
            </w:r>
          </w:p>
        </w:tc>
      </w:tr>
      <w:tr w:rsidR="0031023D" w:rsidRPr="00765087" w:rsidTr="00765087">
        <w:tc>
          <w:tcPr>
            <w:tcW w:w="1679" w:type="dxa"/>
            <w:vMerge/>
            <w:shd w:val="clear" w:color="auto" w:fill="D9D9D9" w:themeFill="background1" w:themeFillShade="D9"/>
          </w:tcPr>
          <w:p w:rsidR="00942B93" w:rsidRPr="00765087" w:rsidRDefault="00942B93" w:rsidP="00765087">
            <w:pPr>
              <w:pStyle w:val="NoSpacing"/>
            </w:pPr>
          </w:p>
        </w:tc>
        <w:tc>
          <w:tcPr>
            <w:tcW w:w="1975" w:type="dxa"/>
            <w:shd w:val="clear" w:color="auto" w:fill="D9D9D9" w:themeFill="background1" w:themeFillShade="D9"/>
          </w:tcPr>
          <w:p w:rsidR="00942B93" w:rsidRPr="00765087" w:rsidRDefault="00942B93" w:rsidP="00765087">
            <w:pPr>
              <w:pStyle w:val="NoSpacing"/>
            </w:pPr>
            <w:r w:rsidRPr="00765087">
              <w:t>Translation of key NEITI messages into local languages</w:t>
            </w:r>
          </w:p>
        </w:tc>
        <w:tc>
          <w:tcPr>
            <w:tcW w:w="2221" w:type="dxa"/>
            <w:shd w:val="clear" w:color="auto" w:fill="D9D9D9" w:themeFill="background1" w:themeFillShade="D9"/>
          </w:tcPr>
          <w:p w:rsidR="00942B93" w:rsidRPr="00765087" w:rsidRDefault="00942B93" w:rsidP="00765087">
            <w:pPr>
              <w:pStyle w:val="NoSpacing"/>
            </w:pPr>
            <w:r w:rsidRPr="00765087">
              <w:t>Advocacy letters on unresolved audit issues</w:t>
            </w:r>
          </w:p>
        </w:tc>
        <w:tc>
          <w:tcPr>
            <w:tcW w:w="1930" w:type="dxa"/>
            <w:shd w:val="clear" w:color="auto" w:fill="D9D9D9" w:themeFill="background1" w:themeFillShade="D9"/>
          </w:tcPr>
          <w:p w:rsidR="00942B93" w:rsidRPr="00765087" w:rsidRDefault="00942B93" w:rsidP="00765087">
            <w:pPr>
              <w:pStyle w:val="NoSpacing"/>
            </w:pPr>
            <w:r w:rsidRPr="00765087">
              <w:t>Media collaboration on BO accountability stories</w:t>
            </w:r>
          </w:p>
        </w:tc>
        <w:tc>
          <w:tcPr>
            <w:tcW w:w="1768" w:type="dxa"/>
            <w:shd w:val="clear" w:color="auto" w:fill="D9D9D9" w:themeFill="background1" w:themeFillShade="D9"/>
          </w:tcPr>
          <w:p w:rsidR="00942B93" w:rsidRPr="00765087" w:rsidRDefault="00942B93" w:rsidP="00765087">
            <w:pPr>
              <w:pStyle w:val="NoSpacing"/>
            </w:pPr>
            <w:r w:rsidRPr="00765087">
              <w:t>Engagement with professional bodies</w:t>
            </w:r>
          </w:p>
        </w:tc>
        <w:tc>
          <w:tcPr>
            <w:tcW w:w="1654" w:type="dxa"/>
            <w:shd w:val="clear" w:color="auto" w:fill="D9D9D9" w:themeFill="background1" w:themeFillShade="D9"/>
          </w:tcPr>
          <w:p w:rsidR="00942B93" w:rsidRPr="00765087" w:rsidRDefault="00942B93" w:rsidP="00765087">
            <w:pPr>
              <w:pStyle w:val="NoSpacing"/>
            </w:pPr>
            <w:r w:rsidRPr="00765087">
              <w:t>Annual civil society reflection on NEITI progress</w:t>
            </w:r>
          </w:p>
        </w:tc>
        <w:tc>
          <w:tcPr>
            <w:tcW w:w="1723" w:type="dxa"/>
            <w:shd w:val="clear" w:color="auto" w:fill="D9D9D9" w:themeFill="background1" w:themeFillShade="D9"/>
          </w:tcPr>
          <w:p w:rsidR="00942B93" w:rsidRPr="00765087" w:rsidRDefault="00942B93" w:rsidP="00765087">
            <w:pPr>
              <w:pStyle w:val="NoSpacing"/>
            </w:pPr>
            <w:r w:rsidRPr="00765087">
              <w:t>Opinion pieces aligned with NEITI publications</w:t>
            </w:r>
          </w:p>
        </w:tc>
      </w:tr>
      <w:tr w:rsidR="0031023D" w:rsidRPr="00765087" w:rsidTr="00765087">
        <w:tc>
          <w:tcPr>
            <w:tcW w:w="1679" w:type="dxa"/>
            <w:vMerge/>
            <w:shd w:val="clear" w:color="auto" w:fill="D9D9D9" w:themeFill="background1" w:themeFillShade="D9"/>
          </w:tcPr>
          <w:p w:rsidR="00942B93" w:rsidRPr="00765087" w:rsidRDefault="00942B93" w:rsidP="00765087">
            <w:pPr>
              <w:pStyle w:val="NoSpacing"/>
            </w:pPr>
          </w:p>
        </w:tc>
        <w:tc>
          <w:tcPr>
            <w:tcW w:w="1975" w:type="dxa"/>
            <w:shd w:val="clear" w:color="auto" w:fill="D9D9D9" w:themeFill="background1" w:themeFillShade="D9"/>
          </w:tcPr>
          <w:p w:rsidR="00942B93" w:rsidRPr="00765087" w:rsidRDefault="0031023D" w:rsidP="00765087">
            <w:pPr>
              <w:pStyle w:val="NoSpacing"/>
            </w:pPr>
            <w:r>
              <w:t>Implementation of the NDC 3.0</w:t>
            </w:r>
          </w:p>
        </w:tc>
        <w:tc>
          <w:tcPr>
            <w:tcW w:w="2221" w:type="dxa"/>
            <w:shd w:val="clear" w:color="auto" w:fill="D9D9D9" w:themeFill="background1" w:themeFillShade="D9"/>
          </w:tcPr>
          <w:p w:rsidR="00942B93" w:rsidRPr="00765087" w:rsidRDefault="0031023D" w:rsidP="0031023D">
            <w:pPr>
              <w:pStyle w:val="NoSpacing"/>
            </w:pPr>
            <w:r>
              <w:t xml:space="preserve">Rigorous advocacy on climate mobilization and seasonal migration with special focus on EIA </w:t>
            </w:r>
          </w:p>
        </w:tc>
        <w:tc>
          <w:tcPr>
            <w:tcW w:w="1930" w:type="dxa"/>
            <w:shd w:val="clear" w:color="auto" w:fill="D9D9D9" w:themeFill="background1" w:themeFillShade="D9"/>
          </w:tcPr>
          <w:p w:rsidR="00942B93" w:rsidRPr="00765087" w:rsidRDefault="00942B93" w:rsidP="00765087">
            <w:pPr>
              <w:pStyle w:val="NoSpacing"/>
            </w:pPr>
            <w:r w:rsidRPr="00765087">
              <w:t>Advocacy for improved BO disclosure quality</w:t>
            </w:r>
          </w:p>
        </w:tc>
        <w:tc>
          <w:tcPr>
            <w:tcW w:w="1768" w:type="dxa"/>
            <w:shd w:val="clear" w:color="auto" w:fill="D9D9D9" w:themeFill="background1" w:themeFillShade="D9"/>
          </w:tcPr>
          <w:p w:rsidR="00942B93" w:rsidRPr="00765087" w:rsidRDefault="00942B93" w:rsidP="00765087">
            <w:pPr>
              <w:pStyle w:val="NoSpacing"/>
            </w:pPr>
            <w:r w:rsidRPr="00765087">
              <w:t>Global and regional CSO learning exchanges</w:t>
            </w:r>
          </w:p>
        </w:tc>
        <w:tc>
          <w:tcPr>
            <w:tcW w:w="1654" w:type="dxa"/>
            <w:shd w:val="clear" w:color="auto" w:fill="D9D9D9" w:themeFill="background1" w:themeFillShade="D9"/>
          </w:tcPr>
          <w:p w:rsidR="00942B93" w:rsidRPr="00765087" w:rsidRDefault="00942B93" w:rsidP="00765087">
            <w:pPr>
              <w:pStyle w:val="NoSpacing"/>
            </w:pPr>
            <w:r w:rsidRPr="00765087">
              <w:t>Learning briefs on extractive governance trends</w:t>
            </w:r>
          </w:p>
        </w:tc>
        <w:tc>
          <w:tcPr>
            <w:tcW w:w="1723" w:type="dxa"/>
            <w:shd w:val="clear" w:color="auto" w:fill="D9D9D9" w:themeFill="background1" w:themeFillShade="D9"/>
          </w:tcPr>
          <w:p w:rsidR="00942B93" w:rsidRPr="00765087" w:rsidRDefault="00942B93" w:rsidP="00765087">
            <w:pPr>
              <w:pStyle w:val="NoSpacing"/>
            </w:pPr>
            <w:r w:rsidRPr="00765087">
              <w:t>Radio and online discussions using free platforms</w:t>
            </w:r>
          </w:p>
        </w:tc>
      </w:tr>
      <w:tr w:rsidR="00765087" w:rsidRPr="00765087" w:rsidTr="00765087">
        <w:tc>
          <w:tcPr>
            <w:tcW w:w="1679" w:type="dxa"/>
            <w:vMerge w:val="restart"/>
            <w:shd w:val="clear" w:color="auto" w:fill="D9E2F3" w:themeFill="accent5" w:themeFillTint="33"/>
          </w:tcPr>
          <w:p w:rsidR="00765087" w:rsidRPr="00765087" w:rsidRDefault="00765087" w:rsidP="00765087">
            <w:pPr>
              <w:pStyle w:val="NoSpacing"/>
            </w:pPr>
            <w:r w:rsidRPr="00765087">
              <w:t>Non-budgeted activities</w:t>
            </w:r>
          </w:p>
        </w:tc>
        <w:tc>
          <w:tcPr>
            <w:tcW w:w="1975" w:type="dxa"/>
            <w:shd w:val="clear" w:color="auto" w:fill="D9E2F3" w:themeFill="accent5" w:themeFillTint="33"/>
          </w:tcPr>
          <w:p w:rsidR="00765087" w:rsidRPr="00765087" w:rsidRDefault="00765087" w:rsidP="00765087">
            <w:pPr>
              <w:pStyle w:val="NoSpacing"/>
            </w:pPr>
            <w:r w:rsidRPr="00765087">
              <w:t>Simplified interpretation of NEITI reports for non-technical audiences</w:t>
            </w:r>
          </w:p>
        </w:tc>
        <w:tc>
          <w:tcPr>
            <w:tcW w:w="2221" w:type="dxa"/>
            <w:shd w:val="clear" w:color="auto" w:fill="D9E2F3" w:themeFill="accent5" w:themeFillTint="33"/>
          </w:tcPr>
          <w:p w:rsidR="00765087" w:rsidRPr="00765087" w:rsidRDefault="00765087" w:rsidP="00765087">
            <w:pPr>
              <w:pStyle w:val="NoSpacing"/>
            </w:pPr>
            <w:r w:rsidRPr="00765087">
              <w:t>Desk-based tracking of implementation of NEITI audit recommendations</w:t>
            </w:r>
          </w:p>
        </w:tc>
        <w:tc>
          <w:tcPr>
            <w:tcW w:w="1930" w:type="dxa"/>
            <w:shd w:val="clear" w:color="auto" w:fill="D9E2F3" w:themeFill="accent5" w:themeFillTint="33"/>
          </w:tcPr>
          <w:p w:rsidR="00765087" w:rsidRPr="00765087" w:rsidRDefault="00765087" w:rsidP="00765087">
            <w:pPr>
              <w:pStyle w:val="NoSpacing"/>
            </w:pPr>
            <w:r w:rsidRPr="00765087">
              <w:t>Desk review and analysis of publicly available Beneficial Ownership data</w:t>
            </w:r>
          </w:p>
        </w:tc>
        <w:tc>
          <w:tcPr>
            <w:tcW w:w="1768" w:type="dxa"/>
            <w:shd w:val="clear" w:color="auto" w:fill="D9E2F3" w:themeFill="accent5" w:themeFillTint="33"/>
          </w:tcPr>
          <w:p w:rsidR="00765087" w:rsidRPr="00765087" w:rsidRDefault="00765087" w:rsidP="00765087">
            <w:pPr>
              <w:pStyle w:val="NoSpacing"/>
            </w:pPr>
            <w:r w:rsidRPr="00765087">
              <w:t>Virtual CSO coordination meetings and peer-learning sessions</w:t>
            </w:r>
          </w:p>
        </w:tc>
        <w:tc>
          <w:tcPr>
            <w:tcW w:w="1654" w:type="dxa"/>
            <w:shd w:val="clear" w:color="auto" w:fill="D9E2F3" w:themeFill="accent5" w:themeFillTint="33"/>
          </w:tcPr>
          <w:p w:rsidR="00765087" w:rsidRPr="00765087" w:rsidRDefault="00765087" w:rsidP="00765087">
            <w:pPr>
              <w:pStyle w:val="NoSpacing"/>
            </w:pPr>
            <w:r w:rsidRPr="00765087">
              <w:t>CSO self-assessment of advocacy and transparency interventions</w:t>
            </w:r>
          </w:p>
        </w:tc>
        <w:tc>
          <w:tcPr>
            <w:tcW w:w="1723" w:type="dxa"/>
            <w:shd w:val="clear" w:color="auto" w:fill="D9E2F3" w:themeFill="accent5" w:themeFillTint="33"/>
          </w:tcPr>
          <w:p w:rsidR="00765087" w:rsidRPr="00765087" w:rsidRDefault="00765087" w:rsidP="00765087">
            <w:pPr>
              <w:pStyle w:val="NoSpacing"/>
            </w:pPr>
            <w:r w:rsidRPr="00765087">
              <w:t>Journalist briefings and explainers using NEITI data</w:t>
            </w:r>
          </w:p>
        </w:tc>
      </w:tr>
      <w:tr w:rsidR="00765087" w:rsidRPr="00765087" w:rsidTr="00765087">
        <w:tc>
          <w:tcPr>
            <w:tcW w:w="1679" w:type="dxa"/>
            <w:vMerge/>
            <w:shd w:val="clear" w:color="auto" w:fill="D9E2F3" w:themeFill="accent5" w:themeFillTint="33"/>
          </w:tcPr>
          <w:p w:rsidR="00765087" w:rsidRPr="00765087" w:rsidRDefault="00765087" w:rsidP="00765087">
            <w:pPr>
              <w:pStyle w:val="NoSpacing"/>
            </w:pPr>
          </w:p>
        </w:tc>
        <w:tc>
          <w:tcPr>
            <w:tcW w:w="1975" w:type="dxa"/>
            <w:shd w:val="clear" w:color="auto" w:fill="D9E2F3" w:themeFill="accent5" w:themeFillTint="33"/>
          </w:tcPr>
          <w:p w:rsidR="00765087" w:rsidRPr="00765087" w:rsidRDefault="00765087" w:rsidP="00765087">
            <w:pPr>
              <w:pStyle w:val="NoSpacing"/>
            </w:pPr>
            <w:r w:rsidRPr="00765087">
              <w:t xml:space="preserve">Digital explainers and </w:t>
            </w:r>
            <w:proofErr w:type="spellStart"/>
            <w:r w:rsidRPr="00765087">
              <w:t>infographics</w:t>
            </w:r>
            <w:proofErr w:type="spellEnd"/>
            <w:r w:rsidRPr="00765087">
              <w:t xml:space="preserve"> derived from existing NEITI data</w:t>
            </w:r>
          </w:p>
          <w:p w:rsidR="00765087" w:rsidRPr="00765087" w:rsidRDefault="00765087" w:rsidP="00765087">
            <w:pPr>
              <w:pStyle w:val="NoSpacing"/>
            </w:pPr>
          </w:p>
        </w:tc>
        <w:tc>
          <w:tcPr>
            <w:tcW w:w="2221" w:type="dxa"/>
            <w:shd w:val="clear" w:color="auto" w:fill="D9E2F3" w:themeFill="accent5" w:themeFillTint="33"/>
          </w:tcPr>
          <w:p w:rsidR="00765087" w:rsidRPr="00765087" w:rsidRDefault="00765087" w:rsidP="00765087">
            <w:pPr>
              <w:pStyle w:val="NoSpacing"/>
            </w:pPr>
            <w:r w:rsidRPr="00765087">
              <w:t>Development and publication of CSO accountability scorecards using public data</w:t>
            </w:r>
          </w:p>
        </w:tc>
        <w:tc>
          <w:tcPr>
            <w:tcW w:w="1930" w:type="dxa"/>
            <w:shd w:val="clear" w:color="auto" w:fill="D9E2F3" w:themeFill="accent5" w:themeFillTint="33"/>
          </w:tcPr>
          <w:p w:rsidR="00765087" w:rsidRPr="00765087" w:rsidRDefault="00765087" w:rsidP="00765087">
            <w:pPr>
              <w:pStyle w:val="NoSpacing"/>
            </w:pPr>
            <w:r w:rsidRPr="00765087">
              <w:t>Identification and documentation of red flags and disclosure gaps</w:t>
            </w:r>
          </w:p>
        </w:tc>
        <w:tc>
          <w:tcPr>
            <w:tcW w:w="1768" w:type="dxa"/>
            <w:shd w:val="clear" w:color="auto" w:fill="D9E2F3" w:themeFill="accent5" w:themeFillTint="33"/>
          </w:tcPr>
          <w:p w:rsidR="00765087" w:rsidRPr="00765087" w:rsidRDefault="00765087" w:rsidP="00765087">
            <w:pPr>
              <w:pStyle w:val="NoSpacing"/>
            </w:pPr>
            <w:r w:rsidRPr="00765087">
              <w:t>Experience-sharing among extractive sector CSOs using online platforms</w:t>
            </w:r>
          </w:p>
        </w:tc>
        <w:tc>
          <w:tcPr>
            <w:tcW w:w="1654" w:type="dxa"/>
            <w:shd w:val="clear" w:color="auto" w:fill="D9E2F3" w:themeFill="accent5" w:themeFillTint="33"/>
          </w:tcPr>
          <w:p w:rsidR="00765087" w:rsidRPr="00765087" w:rsidRDefault="00765087" w:rsidP="00765087">
            <w:pPr>
              <w:pStyle w:val="NoSpacing"/>
            </w:pPr>
            <w:r w:rsidRPr="00765087">
              <w:t>Documentation of lessons learned and good practices in extractive governance advocacy</w:t>
            </w:r>
          </w:p>
        </w:tc>
        <w:tc>
          <w:tcPr>
            <w:tcW w:w="1723" w:type="dxa"/>
            <w:shd w:val="clear" w:color="auto" w:fill="D9E2F3" w:themeFill="accent5" w:themeFillTint="33"/>
          </w:tcPr>
          <w:p w:rsidR="00765087" w:rsidRPr="00765087" w:rsidRDefault="00765087" w:rsidP="00765087">
            <w:pPr>
              <w:pStyle w:val="NoSpacing"/>
            </w:pPr>
            <w:r w:rsidRPr="00765087">
              <w:t>Media fact-checking of extractive sector claims using public disclosures</w:t>
            </w:r>
          </w:p>
        </w:tc>
      </w:tr>
      <w:tr w:rsidR="00765087" w:rsidRPr="00765087" w:rsidTr="00765087">
        <w:tc>
          <w:tcPr>
            <w:tcW w:w="1679" w:type="dxa"/>
            <w:vMerge/>
            <w:shd w:val="clear" w:color="auto" w:fill="D9E2F3" w:themeFill="accent5" w:themeFillTint="33"/>
          </w:tcPr>
          <w:p w:rsidR="00765087" w:rsidRPr="00765087" w:rsidRDefault="00765087" w:rsidP="00765087">
            <w:pPr>
              <w:pStyle w:val="NoSpacing"/>
            </w:pPr>
          </w:p>
        </w:tc>
        <w:tc>
          <w:tcPr>
            <w:tcW w:w="1975" w:type="dxa"/>
            <w:shd w:val="clear" w:color="auto" w:fill="D9E2F3" w:themeFill="accent5" w:themeFillTint="33"/>
          </w:tcPr>
          <w:p w:rsidR="00765087" w:rsidRPr="00765087" w:rsidRDefault="00765087" w:rsidP="00765087">
            <w:pPr>
              <w:pStyle w:val="NoSpacing"/>
            </w:pPr>
            <w:r w:rsidRPr="00765087">
              <w:t>Online public discussions (X Spaces, webinars, Facebook Live) on extractive revenues</w:t>
            </w:r>
          </w:p>
        </w:tc>
        <w:tc>
          <w:tcPr>
            <w:tcW w:w="2221" w:type="dxa"/>
            <w:shd w:val="clear" w:color="auto" w:fill="D9E2F3" w:themeFill="accent5" w:themeFillTint="33"/>
          </w:tcPr>
          <w:p w:rsidR="00765087" w:rsidRPr="00765087" w:rsidRDefault="00765087" w:rsidP="00765087">
            <w:pPr>
              <w:pStyle w:val="NoSpacing"/>
            </w:pPr>
            <w:r w:rsidRPr="00765087">
              <w:t>Monitoring public statements by MDAs against NEITI disclosures</w:t>
            </w:r>
          </w:p>
        </w:tc>
        <w:tc>
          <w:tcPr>
            <w:tcW w:w="1930" w:type="dxa"/>
            <w:shd w:val="clear" w:color="auto" w:fill="D9E2F3" w:themeFill="accent5" w:themeFillTint="33"/>
          </w:tcPr>
          <w:p w:rsidR="00765087" w:rsidRPr="00765087" w:rsidRDefault="00765087" w:rsidP="00765087">
            <w:pPr>
              <w:pStyle w:val="NoSpacing"/>
            </w:pPr>
            <w:r w:rsidRPr="00765087">
              <w:t>Public education on Beneficial Ownership concepts and relevance</w:t>
            </w:r>
          </w:p>
        </w:tc>
        <w:tc>
          <w:tcPr>
            <w:tcW w:w="1768" w:type="dxa"/>
            <w:shd w:val="clear" w:color="auto" w:fill="D9E2F3" w:themeFill="accent5" w:themeFillTint="33"/>
          </w:tcPr>
          <w:p w:rsidR="00765087" w:rsidRPr="00765087" w:rsidRDefault="00765087" w:rsidP="00765087">
            <w:pPr>
              <w:pStyle w:val="NoSpacing"/>
            </w:pPr>
            <w:r w:rsidRPr="00765087">
              <w:t>Development of joint CSO statements on transparency and accountability issues</w:t>
            </w:r>
          </w:p>
        </w:tc>
        <w:tc>
          <w:tcPr>
            <w:tcW w:w="1654" w:type="dxa"/>
            <w:shd w:val="clear" w:color="auto" w:fill="D9E2F3" w:themeFill="accent5" w:themeFillTint="33"/>
          </w:tcPr>
          <w:p w:rsidR="00765087" w:rsidRPr="00765087" w:rsidRDefault="00765087" w:rsidP="00765087">
            <w:pPr>
              <w:pStyle w:val="NoSpacing"/>
            </w:pPr>
            <w:r w:rsidRPr="00765087">
              <w:t>Peer review of CSO strategies and tools</w:t>
            </w:r>
          </w:p>
        </w:tc>
        <w:tc>
          <w:tcPr>
            <w:tcW w:w="1723" w:type="dxa"/>
            <w:shd w:val="clear" w:color="auto" w:fill="D9E2F3" w:themeFill="accent5" w:themeFillTint="33"/>
          </w:tcPr>
          <w:p w:rsidR="00765087" w:rsidRPr="00765087" w:rsidRDefault="00765087" w:rsidP="00765087">
            <w:pPr>
              <w:pStyle w:val="NoSpacing"/>
            </w:pPr>
            <w:r w:rsidRPr="00765087">
              <w:t>Opinion articles and commentary aligned with NEITI publications</w:t>
            </w:r>
          </w:p>
        </w:tc>
      </w:tr>
      <w:tr w:rsidR="00765087" w:rsidRPr="00765087" w:rsidTr="00765087">
        <w:tc>
          <w:tcPr>
            <w:tcW w:w="1679" w:type="dxa"/>
            <w:vMerge/>
            <w:shd w:val="clear" w:color="auto" w:fill="D9E2F3" w:themeFill="accent5" w:themeFillTint="33"/>
          </w:tcPr>
          <w:p w:rsidR="00765087" w:rsidRPr="00765087" w:rsidRDefault="00765087" w:rsidP="00765087">
            <w:pPr>
              <w:pStyle w:val="NoSpacing"/>
            </w:pPr>
          </w:p>
        </w:tc>
        <w:tc>
          <w:tcPr>
            <w:tcW w:w="1975" w:type="dxa"/>
            <w:shd w:val="clear" w:color="auto" w:fill="D9E2F3" w:themeFill="accent5" w:themeFillTint="33"/>
          </w:tcPr>
          <w:p w:rsidR="00765087" w:rsidRPr="00765087" w:rsidRDefault="00765087" w:rsidP="00765087">
            <w:pPr>
              <w:pStyle w:val="NoSpacing"/>
            </w:pPr>
            <w:r w:rsidRPr="00765087">
              <w:t xml:space="preserve"> Publication of blog posts and opinion articles based on NEITI findings</w:t>
            </w:r>
          </w:p>
          <w:p w:rsidR="00765087" w:rsidRPr="00765087" w:rsidRDefault="00765087" w:rsidP="00765087">
            <w:pPr>
              <w:pStyle w:val="NoSpacing"/>
            </w:pPr>
          </w:p>
        </w:tc>
        <w:tc>
          <w:tcPr>
            <w:tcW w:w="2221" w:type="dxa"/>
            <w:shd w:val="clear" w:color="auto" w:fill="D9E2F3" w:themeFill="accent5" w:themeFillTint="33"/>
          </w:tcPr>
          <w:p w:rsidR="00765087" w:rsidRPr="00765087" w:rsidRDefault="00765087" w:rsidP="00765087">
            <w:pPr>
              <w:pStyle w:val="NoSpacing"/>
            </w:pPr>
            <w:r w:rsidRPr="00765087">
              <w:t>Online advocacy campaigns calling attention to unimplemented remedial actions</w:t>
            </w:r>
          </w:p>
        </w:tc>
        <w:tc>
          <w:tcPr>
            <w:tcW w:w="1930" w:type="dxa"/>
            <w:shd w:val="clear" w:color="auto" w:fill="D9E2F3" w:themeFill="accent5" w:themeFillTint="33"/>
          </w:tcPr>
          <w:p w:rsidR="00765087" w:rsidRPr="00765087" w:rsidRDefault="00765087" w:rsidP="00765087">
            <w:pPr>
              <w:pStyle w:val="NoSpacing"/>
            </w:pPr>
            <w:r w:rsidRPr="00765087">
              <w:t>Digital campaigns on “Who owns extractive companies?”</w:t>
            </w:r>
          </w:p>
        </w:tc>
        <w:tc>
          <w:tcPr>
            <w:tcW w:w="1768" w:type="dxa"/>
            <w:shd w:val="clear" w:color="auto" w:fill="D9E2F3" w:themeFill="accent5" w:themeFillTint="33"/>
          </w:tcPr>
          <w:p w:rsidR="00765087" w:rsidRPr="00765087" w:rsidRDefault="00765087" w:rsidP="00765087">
            <w:pPr>
              <w:pStyle w:val="NoSpacing"/>
            </w:pPr>
            <w:r w:rsidRPr="00765087">
              <w:t>Knowledge exchange with professional bodies and academia</w:t>
            </w:r>
          </w:p>
        </w:tc>
        <w:tc>
          <w:tcPr>
            <w:tcW w:w="1654" w:type="dxa"/>
            <w:shd w:val="clear" w:color="auto" w:fill="D9E2F3" w:themeFill="accent5" w:themeFillTint="33"/>
          </w:tcPr>
          <w:p w:rsidR="00765087" w:rsidRPr="00765087" w:rsidRDefault="00765087" w:rsidP="00765087">
            <w:pPr>
              <w:pStyle w:val="NoSpacing"/>
            </w:pPr>
            <w:r w:rsidRPr="00765087">
              <w:t>Annual civil society reflection on progress in NEITI implementation</w:t>
            </w:r>
          </w:p>
        </w:tc>
        <w:tc>
          <w:tcPr>
            <w:tcW w:w="1723" w:type="dxa"/>
            <w:shd w:val="clear" w:color="auto" w:fill="D9E2F3" w:themeFill="accent5" w:themeFillTint="33"/>
          </w:tcPr>
          <w:p w:rsidR="00765087" w:rsidRPr="00765087" w:rsidRDefault="00765087" w:rsidP="00765087">
            <w:pPr>
              <w:pStyle w:val="NoSpacing"/>
            </w:pPr>
            <w:r w:rsidRPr="00765087">
              <w:t>Monitoring of media coverage on extractive governance issues</w:t>
            </w:r>
          </w:p>
        </w:tc>
      </w:tr>
      <w:tr w:rsidR="00765087" w:rsidRPr="00765087" w:rsidTr="00765087">
        <w:tc>
          <w:tcPr>
            <w:tcW w:w="1679" w:type="dxa"/>
            <w:vMerge/>
            <w:shd w:val="clear" w:color="auto" w:fill="D9E2F3" w:themeFill="accent5" w:themeFillTint="33"/>
          </w:tcPr>
          <w:p w:rsidR="00765087" w:rsidRPr="00765087" w:rsidRDefault="00765087" w:rsidP="00765087">
            <w:pPr>
              <w:pStyle w:val="NoSpacing"/>
            </w:pPr>
          </w:p>
        </w:tc>
        <w:tc>
          <w:tcPr>
            <w:tcW w:w="1975" w:type="dxa"/>
            <w:shd w:val="clear" w:color="auto" w:fill="D9E2F3" w:themeFill="accent5" w:themeFillTint="33"/>
          </w:tcPr>
          <w:p w:rsidR="00765087" w:rsidRPr="00765087" w:rsidRDefault="00765087" w:rsidP="00765087">
            <w:pPr>
              <w:pStyle w:val="NoSpacing"/>
            </w:pPr>
            <w:r w:rsidRPr="00765087">
              <w:t>Translation of key transparency</w:t>
            </w:r>
            <w:r w:rsidRPr="00765087">
              <w:t xml:space="preserve"> messages into local languages</w:t>
            </w:r>
          </w:p>
        </w:tc>
        <w:tc>
          <w:tcPr>
            <w:tcW w:w="2221" w:type="dxa"/>
            <w:shd w:val="clear" w:color="auto" w:fill="D9E2F3" w:themeFill="accent5" w:themeFillTint="33"/>
          </w:tcPr>
          <w:p w:rsidR="00765087" w:rsidRPr="00765087" w:rsidRDefault="00765087" w:rsidP="00765087">
            <w:pPr>
              <w:pStyle w:val="NoSpacing"/>
            </w:pPr>
            <w:r w:rsidRPr="00765087">
              <w:t>Submission of advocacy letters and position statements to relevant MDAs</w:t>
            </w:r>
          </w:p>
        </w:tc>
        <w:tc>
          <w:tcPr>
            <w:tcW w:w="1930" w:type="dxa"/>
            <w:shd w:val="clear" w:color="auto" w:fill="D9E2F3" w:themeFill="accent5" w:themeFillTint="33"/>
          </w:tcPr>
          <w:p w:rsidR="00765087" w:rsidRPr="00765087" w:rsidRDefault="00765087" w:rsidP="00765087">
            <w:pPr>
              <w:pStyle w:val="NoSpacing"/>
            </w:pPr>
            <w:r w:rsidRPr="00765087">
              <w:t xml:space="preserve">Collaboration with journalists to promote BO </w:t>
            </w:r>
            <w:r w:rsidRPr="00765087">
              <w:lastRenderedPageBreak/>
              <w:t>accountability stories</w:t>
            </w:r>
          </w:p>
        </w:tc>
        <w:tc>
          <w:tcPr>
            <w:tcW w:w="1768" w:type="dxa"/>
            <w:shd w:val="clear" w:color="auto" w:fill="D9E2F3" w:themeFill="accent5" w:themeFillTint="33"/>
          </w:tcPr>
          <w:p w:rsidR="00765087" w:rsidRPr="00765087" w:rsidRDefault="00765087" w:rsidP="00765087">
            <w:pPr>
              <w:pStyle w:val="NoSpacing"/>
            </w:pPr>
            <w:r w:rsidRPr="00765087">
              <w:lastRenderedPageBreak/>
              <w:t xml:space="preserve">Participation in regional and global CSO </w:t>
            </w:r>
            <w:r w:rsidRPr="00765087">
              <w:lastRenderedPageBreak/>
              <w:t>learning forums (virtual)</w:t>
            </w:r>
          </w:p>
        </w:tc>
        <w:tc>
          <w:tcPr>
            <w:tcW w:w="1654" w:type="dxa"/>
            <w:shd w:val="clear" w:color="auto" w:fill="D9E2F3" w:themeFill="accent5" w:themeFillTint="33"/>
          </w:tcPr>
          <w:p w:rsidR="00765087" w:rsidRPr="00765087" w:rsidRDefault="00765087" w:rsidP="00765087">
            <w:pPr>
              <w:pStyle w:val="NoSpacing"/>
            </w:pPr>
            <w:r w:rsidRPr="00765087">
              <w:lastRenderedPageBreak/>
              <w:t xml:space="preserve">Development of learning briefs based on </w:t>
            </w:r>
            <w:r w:rsidRPr="00765087">
              <w:lastRenderedPageBreak/>
              <w:t>advocacy outcomes</w:t>
            </w:r>
          </w:p>
        </w:tc>
        <w:tc>
          <w:tcPr>
            <w:tcW w:w="1723" w:type="dxa"/>
            <w:shd w:val="clear" w:color="auto" w:fill="D9E2F3" w:themeFill="accent5" w:themeFillTint="33"/>
          </w:tcPr>
          <w:p w:rsidR="00765087" w:rsidRPr="00765087" w:rsidRDefault="00765087" w:rsidP="00765087">
            <w:pPr>
              <w:pStyle w:val="NoSpacing"/>
            </w:pPr>
            <w:r w:rsidRPr="00765087">
              <w:lastRenderedPageBreak/>
              <w:t xml:space="preserve">Participation in radio, television, and online </w:t>
            </w:r>
            <w:r w:rsidRPr="00765087">
              <w:lastRenderedPageBreak/>
              <w:t>discussions using free platforms</w:t>
            </w:r>
          </w:p>
        </w:tc>
      </w:tr>
      <w:tr w:rsidR="00CC7FCE" w:rsidRPr="00765087" w:rsidTr="00765087">
        <w:tc>
          <w:tcPr>
            <w:tcW w:w="1679" w:type="dxa"/>
            <w:vMerge/>
            <w:shd w:val="clear" w:color="auto" w:fill="D9E2F3" w:themeFill="accent5" w:themeFillTint="33"/>
          </w:tcPr>
          <w:p w:rsidR="00765087" w:rsidRPr="00765087" w:rsidRDefault="00765087" w:rsidP="00765087">
            <w:pPr>
              <w:pStyle w:val="NoSpacing"/>
            </w:pPr>
          </w:p>
        </w:tc>
        <w:tc>
          <w:tcPr>
            <w:tcW w:w="1975" w:type="dxa"/>
            <w:shd w:val="clear" w:color="auto" w:fill="D9E2F3" w:themeFill="accent5" w:themeFillTint="33"/>
          </w:tcPr>
          <w:p w:rsidR="00765087" w:rsidRPr="00765087" w:rsidRDefault="00765087" w:rsidP="00765087">
            <w:pPr>
              <w:pStyle w:val="NoSpacing"/>
            </w:pPr>
            <w:r w:rsidRPr="00765087">
              <w:t>Community awareness messaging integrated into existing CSO outreach activities</w:t>
            </w:r>
          </w:p>
        </w:tc>
        <w:tc>
          <w:tcPr>
            <w:tcW w:w="2221" w:type="dxa"/>
            <w:shd w:val="clear" w:color="auto" w:fill="D9E2F3" w:themeFill="accent5" w:themeFillTint="33"/>
          </w:tcPr>
          <w:p w:rsidR="00765087" w:rsidRPr="00765087" w:rsidRDefault="00765087" w:rsidP="00765087">
            <w:pPr>
              <w:pStyle w:val="NoSpacing"/>
            </w:pPr>
            <w:r w:rsidRPr="00765087">
              <w:t>Civil society monitoring of extractive sector commitments and reforms</w:t>
            </w:r>
          </w:p>
        </w:tc>
        <w:tc>
          <w:tcPr>
            <w:tcW w:w="1930" w:type="dxa"/>
            <w:shd w:val="clear" w:color="auto" w:fill="D9E2F3" w:themeFill="accent5" w:themeFillTint="33"/>
          </w:tcPr>
          <w:p w:rsidR="00765087" w:rsidRPr="00765087" w:rsidRDefault="00765087" w:rsidP="00765087">
            <w:pPr>
              <w:pStyle w:val="NoSpacing"/>
            </w:pPr>
            <w:r w:rsidRPr="00765087">
              <w:t>Policy advocacy for improved BO data quality and accessibility</w:t>
            </w:r>
          </w:p>
        </w:tc>
        <w:tc>
          <w:tcPr>
            <w:tcW w:w="1768" w:type="dxa"/>
            <w:shd w:val="clear" w:color="auto" w:fill="D9E2F3" w:themeFill="accent5" w:themeFillTint="33"/>
          </w:tcPr>
          <w:p w:rsidR="00765087" w:rsidRPr="00765087" w:rsidRDefault="00765087" w:rsidP="00765087">
            <w:pPr>
              <w:pStyle w:val="NoSpacing"/>
            </w:pPr>
            <w:r w:rsidRPr="00765087">
              <w:t>Informal coalition building around extractive governance priorities</w:t>
            </w:r>
          </w:p>
        </w:tc>
        <w:tc>
          <w:tcPr>
            <w:tcW w:w="1654" w:type="dxa"/>
            <w:shd w:val="clear" w:color="auto" w:fill="D9E2F3" w:themeFill="accent5" w:themeFillTint="33"/>
          </w:tcPr>
          <w:p w:rsidR="00765087" w:rsidRPr="00765087" w:rsidRDefault="00765087" w:rsidP="00765087">
            <w:pPr>
              <w:pStyle w:val="NoSpacing"/>
            </w:pPr>
            <w:r w:rsidRPr="00765087">
              <w:t>Continuous improvement of CSO engagement approaches using feedback</w:t>
            </w:r>
          </w:p>
        </w:tc>
        <w:tc>
          <w:tcPr>
            <w:tcW w:w="1723" w:type="dxa"/>
            <w:shd w:val="clear" w:color="auto" w:fill="D9E2F3" w:themeFill="accent5" w:themeFillTint="33"/>
          </w:tcPr>
          <w:p w:rsidR="00765087" w:rsidRPr="00765087" w:rsidRDefault="00765087" w:rsidP="00765087">
            <w:pPr>
              <w:pStyle w:val="NoSpacing"/>
            </w:pPr>
            <w:r w:rsidRPr="00765087">
              <w:t>Development of media talking points based on NEITI evidence</w:t>
            </w:r>
          </w:p>
        </w:tc>
      </w:tr>
    </w:tbl>
    <w:p w:rsidR="008B5DF7" w:rsidRPr="00765087" w:rsidRDefault="008B5DF7" w:rsidP="00765087">
      <w:pPr>
        <w:pStyle w:val="NoSpacing"/>
      </w:pPr>
    </w:p>
    <w:sectPr w:rsidR="008B5DF7" w:rsidRPr="00765087" w:rsidSect="008B5DF7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9"/>
    <w:multiLevelType w:val="singleLevel"/>
    <w:tmpl w:val="437E934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5DF7"/>
    <w:rsid w:val="00130C90"/>
    <w:rsid w:val="0031023D"/>
    <w:rsid w:val="00765087"/>
    <w:rsid w:val="007F70BF"/>
    <w:rsid w:val="008B5DF7"/>
    <w:rsid w:val="00942B93"/>
    <w:rsid w:val="00AE24EF"/>
    <w:rsid w:val="00C478D0"/>
    <w:rsid w:val="00CC7FCE"/>
    <w:rsid w:val="00D279B2"/>
    <w:rsid w:val="00E0265A"/>
    <w:rsid w:val="00F54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F808505-F1E5-4136-84BB-39E88AABB3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B5D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Bullet">
    <w:name w:val="List Bullet"/>
    <w:basedOn w:val="Normal"/>
    <w:uiPriority w:val="99"/>
    <w:unhideWhenUsed/>
    <w:rsid w:val="007F70BF"/>
    <w:pPr>
      <w:numPr>
        <w:numId w:val="1"/>
      </w:numPr>
      <w:spacing w:after="200" w:line="276" w:lineRule="auto"/>
      <w:contextualSpacing/>
    </w:pPr>
    <w:rPr>
      <w:rFonts w:eastAsiaTheme="minorEastAsia"/>
    </w:rPr>
  </w:style>
  <w:style w:type="paragraph" w:styleId="NoSpacing">
    <w:name w:val="No Spacing"/>
    <w:uiPriority w:val="1"/>
    <w:qFormat/>
    <w:rsid w:val="00D279B2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E026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965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3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3</Pages>
  <Words>670</Words>
  <Characters>3821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2025-12-23T08:58:00Z</dcterms:created>
  <dcterms:modified xsi:type="dcterms:W3CDTF">2025-12-23T13:36:00Z</dcterms:modified>
</cp:coreProperties>
</file>