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54C0D" w14:textId="29D7D57C" w:rsidR="00AE2AA6" w:rsidRPr="00AE2AA6" w:rsidRDefault="00AE2AA6" w:rsidP="00AE2AA6">
      <w:pPr>
        <w:jc w:val="center"/>
        <w:rPr>
          <w:rFonts w:ascii="Footlight MT Light" w:hAnsi="Footlight MT Light" w:cs="Times New Roman"/>
          <w:b/>
          <w:sz w:val="24"/>
          <w:szCs w:val="24"/>
          <w:u w:val="single"/>
        </w:rPr>
      </w:pPr>
      <w:r w:rsidRPr="00AE2AA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F034B3" wp14:editId="0322AA45">
                <wp:simplePos x="0" y="0"/>
                <wp:positionH relativeFrom="column">
                  <wp:posOffset>4371975</wp:posOffset>
                </wp:positionH>
                <wp:positionV relativeFrom="page">
                  <wp:posOffset>1400175</wp:posOffset>
                </wp:positionV>
                <wp:extent cx="1637665" cy="301625"/>
                <wp:effectExtent l="0" t="0" r="19685" b="22225"/>
                <wp:wrapNone/>
                <wp:docPr id="2" name="Round Diagonal Corner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665" cy="30162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AB9B3C" w14:textId="01C31E76" w:rsidR="00AE2AA6" w:rsidRPr="00E15614" w:rsidRDefault="00AE2AA6" w:rsidP="00AE2AA6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E15614">
                              <w:rPr>
                                <w:b/>
                                <w:color w:val="FF0000"/>
                              </w:rPr>
                              <w:t xml:space="preserve">NSWG Ref No: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  <w:r w:rsidRPr="00E15614">
                              <w:rPr>
                                <w:b/>
                                <w:color w:val="FF0000"/>
                              </w:rPr>
                              <w:t>/20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034B3" id="Round Diagonal Corner Rectangle 2" o:spid="_x0000_s1026" style="position:absolute;left:0;text-align:left;margin-left:344.25pt;margin-top:110.25pt;width:128.95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637665,301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" adj="-11796480,,5400" path="m50272,l1637665,r,l1637665,251353v,27764,-22508,50272,-50272,50272l,301625r,l,50272c,22508,22508,,50272,xe" fillcolor="white [3201]" strokecolor="#70ad47 [3209]" strokeweight="1pt">
                <v:stroke joinstyle="miter"/>
                <v:formulas/>
                <v:path arrowok="t" o:connecttype="custom" o:connectlocs="50272,0;1637665,0;1637665,0;1637665,251353;1587393,301625;0,301625;0,301625;0,50272;50272,0" o:connectangles="0,0,0,0,0,0,0,0,0" textboxrect="0,0,1637665,301625"/>
                <v:textbox>
                  <w:txbxContent>
                    <w:p w14:paraId="2FAB9B3C" w14:textId="01C31E76" w:rsidR="00AE2AA6" w:rsidRPr="00E15614" w:rsidRDefault="00AE2AA6" w:rsidP="00AE2AA6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E15614">
                        <w:rPr>
                          <w:b/>
                          <w:color w:val="FF0000"/>
                        </w:rPr>
                        <w:t xml:space="preserve">NSWG Ref No: </w:t>
                      </w:r>
                      <w:r>
                        <w:rPr>
                          <w:b/>
                          <w:color w:val="FF0000"/>
                        </w:rPr>
                        <w:t>3</w:t>
                      </w:r>
                      <w:r w:rsidRPr="00E15614">
                        <w:rPr>
                          <w:b/>
                          <w:color w:val="FF0000"/>
                        </w:rPr>
                        <w:t>/20</w:t>
                      </w:r>
                      <w:r>
                        <w:rPr>
                          <w:b/>
                          <w:color w:val="FF0000"/>
                        </w:rPr>
                        <w:t>24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C0987" w:rsidRPr="008D49AF">
        <w:rPr>
          <w:rFonts w:ascii="Footlight MT Light" w:hAnsi="Footlight MT Light" w:cs="Times New Roman"/>
          <w:bCs/>
          <w:noProof/>
          <w:sz w:val="24"/>
          <w:szCs w:val="24"/>
        </w:rPr>
        <w:drawing>
          <wp:inline distT="0" distB="0" distL="0" distR="0" wp14:anchorId="5825AEEB" wp14:editId="1E40C387">
            <wp:extent cx="2366356" cy="1000379"/>
            <wp:effectExtent l="0" t="0" r="0" b="9525"/>
            <wp:docPr id="3" name="Picture 2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32B6010-DC75-7EE6-4634-7A71A7A4ED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432B6010-DC75-7EE6-4634-7A71A7A4ED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7" r="1472" b="22427"/>
                    <a:stretch/>
                  </pic:blipFill>
                  <pic:spPr>
                    <a:xfrm>
                      <a:off x="0" y="0"/>
                      <a:ext cx="2366356" cy="1000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2AA6">
        <w:rPr>
          <w:rFonts w:ascii="Footlight MT Light" w:hAnsi="Footlight MT Light" w:cs="Times New Roman"/>
          <w:b/>
          <w:sz w:val="24"/>
          <w:szCs w:val="24"/>
          <w:u w:val="single"/>
        </w:rPr>
        <w:t xml:space="preserve">                 </w:t>
      </w:r>
    </w:p>
    <w:p w14:paraId="3BF38A34" w14:textId="77777777" w:rsidR="00AE2AA6" w:rsidRPr="004B2DB7" w:rsidRDefault="00AE2AA6" w:rsidP="00AE2AA6">
      <w:pPr>
        <w:spacing w:line="360" w:lineRule="auto"/>
        <w:jc w:val="both"/>
        <w:rPr>
          <w:rFonts w:ascii="Century Gothic" w:hAnsi="Century Gothic" w:cs="Times New Roman"/>
          <w:bCs/>
          <w:sz w:val="24"/>
          <w:szCs w:val="24"/>
        </w:rPr>
      </w:pPr>
      <w:r w:rsidRPr="004B2DB7">
        <w:rPr>
          <w:rFonts w:ascii="Century Gothic" w:hAnsi="Century Gothic" w:cs="Times New Roman"/>
          <w:bCs/>
          <w:sz w:val="24"/>
          <w:szCs w:val="24"/>
        </w:rPr>
        <w:t>TAKE NOTICE that a meeting of the NSWG is scheduled to hold as follows:</w:t>
      </w:r>
    </w:p>
    <w:p w14:paraId="0909D3EC" w14:textId="77777777" w:rsidR="00AE2AA6" w:rsidRPr="004B2DB7" w:rsidRDefault="00AE2AA6" w:rsidP="00AE2AA6">
      <w:pPr>
        <w:spacing w:line="276" w:lineRule="auto"/>
        <w:jc w:val="both"/>
        <w:rPr>
          <w:rFonts w:ascii="Century Gothic" w:hAnsi="Century Gothic" w:cs="Times New Roman"/>
          <w:bCs/>
          <w:sz w:val="24"/>
          <w:szCs w:val="24"/>
        </w:rPr>
      </w:pPr>
      <w:r w:rsidRPr="004B2DB7">
        <w:rPr>
          <w:rFonts w:ascii="Century Gothic" w:hAnsi="Century Gothic" w:cs="Times New Roman"/>
          <w:b/>
          <w:sz w:val="24"/>
          <w:szCs w:val="24"/>
        </w:rPr>
        <w:t>DATE:</w:t>
      </w:r>
      <w:r w:rsidRPr="004B2DB7">
        <w:rPr>
          <w:rFonts w:ascii="Century Gothic" w:hAnsi="Century Gothic" w:cs="Times New Roman"/>
          <w:bCs/>
          <w:sz w:val="24"/>
          <w:szCs w:val="24"/>
        </w:rPr>
        <w:t xml:space="preserve"> 25</w:t>
      </w:r>
      <w:r w:rsidRPr="004B2DB7">
        <w:rPr>
          <w:rFonts w:ascii="Century Gothic" w:hAnsi="Century Gothic" w:cs="Times New Roman"/>
          <w:bCs/>
          <w:sz w:val="24"/>
          <w:szCs w:val="24"/>
          <w:vertAlign w:val="superscript"/>
        </w:rPr>
        <w:t>th</w:t>
      </w:r>
      <w:r w:rsidRPr="004B2DB7">
        <w:rPr>
          <w:rFonts w:ascii="Century Gothic" w:hAnsi="Century Gothic" w:cs="Times New Roman"/>
          <w:bCs/>
          <w:sz w:val="24"/>
          <w:szCs w:val="24"/>
        </w:rPr>
        <w:t xml:space="preserve"> September, 2024</w:t>
      </w:r>
    </w:p>
    <w:p w14:paraId="5913AED8" w14:textId="365B4447" w:rsidR="00AE2AA6" w:rsidRPr="004B2DB7" w:rsidRDefault="00AE2AA6" w:rsidP="00AE2AA6">
      <w:pPr>
        <w:spacing w:line="276" w:lineRule="auto"/>
        <w:jc w:val="both"/>
        <w:rPr>
          <w:rFonts w:ascii="Century Gothic" w:hAnsi="Century Gothic" w:cs="Times New Roman"/>
          <w:bCs/>
          <w:sz w:val="24"/>
          <w:szCs w:val="24"/>
        </w:rPr>
      </w:pPr>
      <w:r w:rsidRPr="004B2DB7">
        <w:rPr>
          <w:rFonts w:ascii="Century Gothic" w:hAnsi="Century Gothic" w:cs="Times New Roman"/>
          <w:b/>
          <w:sz w:val="24"/>
          <w:szCs w:val="24"/>
        </w:rPr>
        <w:t>TIME:</w:t>
      </w:r>
      <w:r w:rsidRPr="004B2DB7">
        <w:rPr>
          <w:rFonts w:ascii="Century Gothic" w:hAnsi="Century Gothic" w:cs="Times New Roman"/>
          <w:bCs/>
          <w:sz w:val="24"/>
          <w:szCs w:val="24"/>
        </w:rPr>
        <w:t xml:space="preserve"> 1</w:t>
      </w:r>
      <w:r w:rsidR="001F3BE3">
        <w:rPr>
          <w:rFonts w:ascii="Century Gothic" w:hAnsi="Century Gothic" w:cs="Times New Roman"/>
          <w:bCs/>
          <w:sz w:val="24"/>
          <w:szCs w:val="24"/>
        </w:rPr>
        <w:t>1</w:t>
      </w:r>
      <w:r w:rsidRPr="004B2DB7">
        <w:rPr>
          <w:rFonts w:ascii="Century Gothic" w:hAnsi="Century Gothic" w:cs="Times New Roman"/>
          <w:bCs/>
          <w:sz w:val="24"/>
          <w:szCs w:val="24"/>
        </w:rPr>
        <w:t>:00hrs</w:t>
      </w:r>
    </w:p>
    <w:p w14:paraId="63277174" w14:textId="77777777" w:rsidR="00AE2AA6" w:rsidRPr="004B2DB7" w:rsidRDefault="00AE2AA6" w:rsidP="00AE2AA6">
      <w:pPr>
        <w:spacing w:line="276" w:lineRule="auto"/>
        <w:jc w:val="both"/>
        <w:rPr>
          <w:rFonts w:ascii="Century Gothic" w:hAnsi="Century Gothic" w:cs="Times New Roman"/>
          <w:bCs/>
          <w:sz w:val="24"/>
          <w:szCs w:val="24"/>
        </w:rPr>
      </w:pPr>
      <w:r w:rsidRPr="004B2DB7">
        <w:rPr>
          <w:rFonts w:ascii="Century Gothic" w:hAnsi="Century Gothic" w:cs="Times New Roman"/>
          <w:b/>
          <w:sz w:val="24"/>
          <w:szCs w:val="24"/>
        </w:rPr>
        <w:t>VENUE:</w:t>
      </w:r>
      <w:r w:rsidRPr="004B2DB7">
        <w:rPr>
          <w:rFonts w:ascii="Century Gothic" w:hAnsi="Century Gothic" w:cs="Times New Roman"/>
          <w:bCs/>
          <w:sz w:val="24"/>
          <w:szCs w:val="24"/>
        </w:rPr>
        <w:t xml:space="preserve"> Conference Room OSGF</w:t>
      </w:r>
    </w:p>
    <w:p w14:paraId="7B3858F0" w14:textId="77777777" w:rsidR="00AE2AA6" w:rsidRPr="004B2DB7" w:rsidRDefault="00AE2AA6" w:rsidP="00AE2AA6">
      <w:pPr>
        <w:spacing w:line="276" w:lineRule="auto"/>
        <w:jc w:val="both"/>
        <w:rPr>
          <w:rFonts w:ascii="Century Gothic" w:hAnsi="Century Gothic" w:cs="Times New Roman"/>
          <w:bCs/>
          <w:sz w:val="24"/>
          <w:szCs w:val="24"/>
        </w:rPr>
      </w:pPr>
      <w:r w:rsidRPr="004B2DB7">
        <w:rPr>
          <w:rFonts w:ascii="Century Gothic" w:hAnsi="Century Gothic" w:cs="Times New Roman"/>
          <w:bCs/>
          <w:sz w:val="24"/>
          <w:szCs w:val="24"/>
        </w:rPr>
        <w:t>To discuss:</w:t>
      </w:r>
    </w:p>
    <w:p w14:paraId="3BB8DB4F" w14:textId="77777777" w:rsidR="00AE2AA6" w:rsidRPr="004B2DB7" w:rsidRDefault="00AE2AA6" w:rsidP="00AE2AA6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  <w:sz w:val="24"/>
          <w:szCs w:val="24"/>
        </w:rPr>
      </w:pPr>
      <w:r w:rsidRPr="004B2DB7">
        <w:rPr>
          <w:rFonts w:ascii="Century Gothic" w:hAnsi="Century Gothic" w:cs="Times New Roman"/>
          <w:sz w:val="24"/>
          <w:szCs w:val="24"/>
        </w:rPr>
        <w:t>Opening Prayer</w:t>
      </w:r>
    </w:p>
    <w:p w14:paraId="122BCD56" w14:textId="24807507" w:rsidR="00A30040" w:rsidRPr="004B2DB7" w:rsidRDefault="00A30040" w:rsidP="00AE2AA6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  <w:sz w:val="24"/>
          <w:szCs w:val="24"/>
        </w:rPr>
      </w:pPr>
      <w:r w:rsidRPr="004B2DB7">
        <w:rPr>
          <w:rFonts w:ascii="Century Gothic" w:hAnsi="Century Gothic" w:cs="Times New Roman"/>
          <w:sz w:val="24"/>
          <w:szCs w:val="24"/>
        </w:rPr>
        <w:t>Review and Adoption of Agenda</w:t>
      </w:r>
    </w:p>
    <w:p w14:paraId="3DC243BC" w14:textId="77777777" w:rsidR="00AE2AA6" w:rsidRPr="004B2DB7" w:rsidRDefault="00AE2AA6" w:rsidP="00AE2AA6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  <w:sz w:val="24"/>
          <w:szCs w:val="24"/>
        </w:rPr>
      </w:pPr>
      <w:r w:rsidRPr="004B2DB7">
        <w:rPr>
          <w:rFonts w:ascii="Century Gothic" w:hAnsi="Century Gothic" w:cs="Times New Roman"/>
          <w:sz w:val="24"/>
          <w:szCs w:val="24"/>
        </w:rPr>
        <w:t>Chairman’s Opening Remarks</w:t>
      </w:r>
    </w:p>
    <w:p w14:paraId="60AD5B90" w14:textId="1FEE3C87" w:rsidR="00AE2AA6" w:rsidRPr="004B2DB7" w:rsidRDefault="00AE2AA6" w:rsidP="00AE2AA6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  <w:sz w:val="24"/>
          <w:szCs w:val="24"/>
        </w:rPr>
      </w:pPr>
      <w:r w:rsidRPr="004B2DB7">
        <w:rPr>
          <w:rFonts w:ascii="Century Gothic" w:hAnsi="Century Gothic" w:cs="Times New Roman"/>
          <w:sz w:val="24"/>
          <w:szCs w:val="24"/>
        </w:rPr>
        <w:t xml:space="preserve">Minutes of Meeting: </w:t>
      </w:r>
      <w:r w:rsidRPr="004B2DB7">
        <w:rPr>
          <w:rFonts w:ascii="Century Gothic" w:hAnsi="Century Gothic"/>
          <w:sz w:val="24"/>
          <w:szCs w:val="24"/>
        </w:rPr>
        <w:t xml:space="preserve">Ref. No. 2/2024 held </w:t>
      </w:r>
      <w:r w:rsidRPr="004B2DB7">
        <w:rPr>
          <w:rFonts w:ascii="Century Gothic" w:hAnsi="Century Gothic" w:cs="Times New Roman"/>
          <w:sz w:val="24"/>
          <w:szCs w:val="24"/>
        </w:rPr>
        <w:t>18</w:t>
      </w:r>
      <w:r w:rsidRPr="004B2DB7">
        <w:rPr>
          <w:rFonts w:ascii="Century Gothic" w:hAnsi="Century Gothic" w:cs="Times New Roman"/>
          <w:sz w:val="24"/>
          <w:szCs w:val="24"/>
          <w:vertAlign w:val="superscript"/>
        </w:rPr>
        <w:t>th</w:t>
      </w:r>
      <w:r w:rsidRPr="004B2DB7">
        <w:rPr>
          <w:rFonts w:ascii="Century Gothic" w:hAnsi="Century Gothic" w:cs="Times New Roman"/>
          <w:sz w:val="24"/>
          <w:szCs w:val="24"/>
        </w:rPr>
        <w:t xml:space="preserve"> July, 2024 and Matters Arising from the Minutes </w:t>
      </w:r>
    </w:p>
    <w:p w14:paraId="28A6622D" w14:textId="2D796749" w:rsidR="00AE2AA6" w:rsidRPr="004B2DB7" w:rsidRDefault="00AE2AA6" w:rsidP="00DD22B1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  <w:sz w:val="24"/>
          <w:szCs w:val="24"/>
        </w:rPr>
      </w:pPr>
      <w:r w:rsidRPr="004B2DB7">
        <w:rPr>
          <w:rFonts w:ascii="Century Gothic" w:hAnsi="Century Gothic" w:cs="Times New Roman"/>
          <w:sz w:val="24"/>
          <w:szCs w:val="24"/>
        </w:rPr>
        <w:t>Executive Secretary’s Status Report and Comments to the Repor</w:t>
      </w:r>
      <w:r w:rsidR="00DD22B1" w:rsidRPr="004B2DB7">
        <w:rPr>
          <w:rFonts w:ascii="Century Gothic" w:hAnsi="Century Gothic" w:cs="Times New Roman"/>
          <w:sz w:val="24"/>
          <w:szCs w:val="24"/>
        </w:rPr>
        <w:t>t</w:t>
      </w:r>
    </w:p>
    <w:p w14:paraId="45E8760C" w14:textId="4B44B9C8" w:rsidR="00A30040" w:rsidRPr="004B2DB7" w:rsidRDefault="00A30040" w:rsidP="00DD22B1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  <w:sz w:val="24"/>
          <w:szCs w:val="24"/>
        </w:rPr>
      </w:pPr>
      <w:r w:rsidRPr="004B2DB7">
        <w:rPr>
          <w:rFonts w:ascii="Century Gothic" w:hAnsi="Century Gothic" w:cs="Times New Roman"/>
          <w:sz w:val="24"/>
          <w:szCs w:val="24"/>
        </w:rPr>
        <w:t xml:space="preserve">Report of the Extractive Committee </w:t>
      </w:r>
    </w:p>
    <w:p w14:paraId="06B41602" w14:textId="7FCEEEE1" w:rsidR="00822042" w:rsidRPr="00822042" w:rsidRDefault="00822042" w:rsidP="00822042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Overview of the highlights of the reports, Consideration and Approval of:</w:t>
      </w:r>
    </w:p>
    <w:p w14:paraId="537BA679" w14:textId="270E6B96" w:rsidR="00A30040" w:rsidRPr="00C36C81" w:rsidRDefault="00A30040" w:rsidP="00C36C8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C36C81">
        <w:rPr>
          <w:rFonts w:ascii="Century Gothic" w:hAnsi="Century Gothic" w:cs="Times New Roman"/>
          <w:sz w:val="24"/>
          <w:szCs w:val="24"/>
        </w:rPr>
        <w:t xml:space="preserve">2022/2023 NEITI Oil &amp; Gas Audit Report </w:t>
      </w:r>
    </w:p>
    <w:p w14:paraId="18701218" w14:textId="29CDB031" w:rsidR="00A30040" w:rsidRPr="004B2DB7" w:rsidRDefault="00A30040" w:rsidP="00C36C8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4B2DB7">
        <w:rPr>
          <w:rFonts w:ascii="Century Gothic" w:hAnsi="Century Gothic" w:cs="Times New Roman"/>
          <w:sz w:val="24"/>
          <w:szCs w:val="24"/>
        </w:rPr>
        <w:t>2022/2023 NEITI Solid Minerals Audit Report</w:t>
      </w:r>
    </w:p>
    <w:p w14:paraId="2DB86A11" w14:textId="77777777" w:rsidR="00AE2AA6" w:rsidRPr="004B2DB7" w:rsidRDefault="00AE2AA6" w:rsidP="00AE2AA6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  <w:sz w:val="24"/>
          <w:szCs w:val="24"/>
        </w:rPr>
      </w:pPr>
      <w:r w:rsidRPr="004B2DB7">
        <w:rPr>
          <w:rFonts w:ascii="Century Gothic" w:hAnsi="Century Gothic" w:cs="Arial"/>
          <w:sz w:val="24"/>
          <w:szCs w:val="24"/>
          <w:shd w:val="clear" w:color="auto" w:fill="FFFFFF"/>
        </w:rPr>
        <w:t>Board Memos for consideration and approval</w:t>
      </w:r>
    </w:p>
    <w:p w14:paraId="2ECB8F29" w14:textId="75EF27E1" w:rsidR="0070132D" w:rsidRDefault="0070132D" w:rsidP="00AE2AA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4B2DB7">
        <w:rPr>
          <w:rFonts w:ascii="Century Gothic" w:hAnsi="Century Gothic" w:cs="Times New Roman"/>
          <w:sz w:val="24"/>
          <w:szCs w:val="24"/>
        </w:rPr>
        <w:t>F</w:t>
      </w:r>
      <w:r w:rsidR="0089217D" w:rsidRPr="004B2DB7">
        <w:rPr>
          <w:rFonts w:ascii="Century Gothic" w:hAnsi="Century Gothic" w:cs="Times New Roman"/>
          <w:sz w:val="24"/>
          <w:szCs w:val="24"/>
        </w:rPr>
        <w:t>r</w:t>
      </w:r>
      <w:r w:rsidRPr="004B2DB7">
        <w:rPr>
          <w:rFonts w:ascii="Century Gothic" w:hAnsi="Century Gothic" w:cs="Times New Roman"/>
          <w:sz w:val="24"/>
          <w:szCs w:val="24"/>
        </w:rPr>
        <w:t>amewor</w:t>
      </w:r>
      <w:r w:rsidR="0089217D" w:rsidRPr="004B2DB7">
        <w:rPr>
          <w:rFonts w:ascii="Century Gothic" w:hAnsi="Century Gothic" w:cs="Times New Roman"/>
          <w:sz w:val="24"/>
          <w:szCs w:val="24"/>
        </w:rPr>
        <w:t>k</w:t>
      </w:r>
      <w:r w:rsidRPr="004B2DB7">
        <w:rPr>
          <w:rFonts w:ascii="Century Gothic" w:hAnsi="Century Gothic" w:cs="Times New Roman"/>
          <w:sz w:val="24"/>
          <w:szCs w:val="24"/>
        </w:rPr>
        <w:t xml:space="preserve"> for</w:t>
      </w:r>
      <w:r w:rsidR="0089217D" w:rsidRPr="004B2DB7">
        <w:rPr>
          <w:rFonts w:ascii="Century Gothic" w:hAnsi="Century Gothic" w:cs="Times New Roman"/>
          <w:sz w:val="24"/>
          <w:szCs w:val="24"/>
        </w:rPr>
        <w:t xml:space="preserve"> Constituency</w:t>
      </w:r>
      <w:r w:rsidRPr="004B2DB7">
        <w:rPr>
          <w:rFonts w:ascii="Century Gothic" w:hAnsi="Century Gothic" w:cs="Times New Roman"/>
          <w:sz w:val="24"/>
          <w:szCs w:val="24"/>
        </w:rPr>
        <w:t xml:space="preserve"> </w:t>
      </w:r>
      <w:r w:rsidR="0089217D" w:rsidRPr="004B2DB7">
        <w:rPr>
          <w:rFonts w:ascii="Century Gothic" w:hAnsi="Century Gothic" w:cs="Times New Roman"/>
          <w:sz w:val="24"/>
          <w:szCs w:val="24"/>
        </w:rPr>
        <w:t xml:space="preserve">Engagement </w:t>
      </w:r>
    </w:p>
    <w:p w14:paraId="4D5AD247" w14:textId="77777777" w:rsidR="00C36C81" w:rsidRDefault="00982FA8" w:rsidP="00C36C8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Draft 2025 NEITI Budget</w:t>
      </w:r>
    </w:p>
    <w:p w14:paraId="7BB54072" w14:textId="1E2C4EE0" w:rsidR="009761CF" w:rsidRPr="00EE6B38" w:rsidRDefault="009761CF" w:rsidP="00EE6B3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E6B38">
        <w:rPr>
          <w:rFonts w:ascii="Century Gothic" w:hAnsi="Century Gothic"/>
          <w:sz w:val="24"/>
          <w:szCs w:val="24"/>
        </w:rPr>
        <w:t xml:space="preserve">Approval for Engagement of Consultants for FASD 2022-2023 </w:t>
      </w:r>
    </w:p>
    <w:p w14:paraId="6E9D49E8" w14:textId="4F280B4C" w:rsidR="00AE2AA6" w:rsidRPr="00C36C81" w:rsidRDefault="00C36C81" w:rsidP="00C36C81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C36C81">
        <w:rPr>
          <w:rFonts w:ascii="Century Gothic" w:hAnsi="Century Gothic" w:cs="Arial"/>
          <w:shd w:val="clear" w:color="auto" w:fill="FFFFFF"/>
          <w:lang w:val="en-US"/>
        </w:rPr>
        <w:t xml:space="preserve">9. </w:t>
      </w:r>
      <w:r w:rsidR="00AE2AA6" w:rsidRPr="00C36C81">
        <w:rPr>
          <w:rFonts w:ascii="Century Gothic" w:hAnsi="Century Gothic" w:cs="Arial"/>
          <w:shd w:val="clear" w:color="auto" w:fill="FFFFFF"/>
          <w:lang w:val="en-US"/>
        </w:rPr>
        <w:t xml:space="preserve">      </w:t>
      </w:r>
      <w:r w:rsidR="00A30040" w:rsidRPr="00C36C81">
        <w:rPr>
          <w:rFonts w:ascii="Century Gothic" w:hAnsi="Century Gothic" w:cs="Arial"/>
          <w:shd w:val="clear" w:color="auto" w:fill="FFFFFF"/>
          <w:lang w:val="en-US"/>
        </w:rPr>
        <w:t xml:space="preserve"> </w:t>
      </w:r>
      <w:r>
        <w:rPr>
          <w:rFonts w:ascii="Century Gothic" w:hAnsi="Century Gothic" w:cs="Arial"/>
          <w:shd w:val="clear" w:color="auto" w:fill="FFFFFF"/>
          <w:lang w:val="en-US"/>
        </w:rPr>
        <w:t xml:space="preserve"> </w:t>
      </w:r>
      <w:r w:rsidR="00AE2AA6" w:rsidRPr="00C36C81">
        <w:rPr>
          <w:rFonts w:ascii="Century Gothic" w:hAnsi="Century Gothic" w:cs="Arial"/>
          <w:shd w:val="clear" w:color="auto" w:fill="FFFFFF"/>
          <w:lang w:val="en-US"/>
        </w:rPr>
        <w:t>AOB</w:t>
      </w:r>
    </w:p>
    <w:p w14:paraId="7E03C19F" w14:textId="2BA29BDA" w:rsidR="00AE2AA6" w:rsidRPr="004B2DB7" w:rsidRDefault="00A30040" w:rsidP="00C36C8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Arial"/>
          <w:shd w:val="clear" w:color="auto" w:fill="FFFFFF"/>
          <w:lang w:val="en-US"/>
        </w:rPr>
      </w:pPr>
      <w:r w:rsidRPr="004B2DB7">
        <w:rPr>
          <w:rFonts w:ascii="Century Gothic" w:hAnsi="Century Gothic" w:cs="Arial"/>
          <w:shd w:val="clear" w:color="auto" w:fill="FFFFFF"/>
        </w:rPr>
        <w:t>10</w:t>
      </w:r>
      <w:r w:rsidR="00AE2AA6" w:rsidRPr="004B2DB7">
        <w:rPr>
          <w:rFonts w:ascii="Century Gothic" w:hAnsi="Century Gothic" w:cs="Arial"/>
          <w:shd w:val="clear" w:color="auto" w:fill="FFFFFF"/>
        </w:rPr>
        <w:t>.     Notices</w:t>
      </w:r>
    </w:p>
    <w:p w14:paraId="7127DFF4" w14:textId="4E463FD2" w:rsidR="00AE2AA6" w:rsidRPr="004B2DB7" w:rsidRDefault="00A30040" w:rsidP="00C36C8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Arial"/>
          <w:shd w:val="clear" w:color="auto" w:fill="FFFFFF"/>
        </w:rPr>
      </w:pPr>
      <w:r w:rsidRPr="004B2DB7">
        <w:rPr>
          <w:rFonts w:ascii="Century Gothic" w:hAnsi="Century Gothic" w:cs="Arial"/>
          <w:shd w:val="clear" w:color="auto" w:fill="FFFFFF"/>
          <w:lang w:val="en-US"/>
        </w:rPr>
        <w:t>11</w:t>
      </w:r>
      <w:r w:rsidR="00AE2AA6" w:rsidRPr="004B2DB7">
        <w:rPr>
          <w:rFonts w:ascii="Century Gothic" w:hAnsi="Century Gothic" w:cs="Arial"/>
          <w:shd w:val="clear" w:color="auto" w:fill="FFFFFF"/>
          <w:lang w:val="en-US"/>
        </w:rPr>
        <w:t xml:space="preserve">.     </w:t>
      </w:r>
      <w:r w:rsidR="00AE2AA6" w:rsidRPr="004B2DB7">
        <w:rPr>
          <w:rFonts w:ascii="Century Gothic" w:hAnsi="Century Gothic" w:cs="Arial"/>
          <w:shd w:val="clear" w:color="auto" w:fill="FFFFFF"/>
        </w:rPr>
        <w:t>Closing</w:t>
      </w:r>
    </w:p>
    <w:p w14:paraId="2033C563" w14:textId="77777777" w:rsidR="0018222B" w:rsidRPr="004B2DB7" w:rsidRDefault="0018222B" w:rsidP="00AE2AA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Calibri"/>
          <w:lang w:val="en-US"/>
        </w:rPr>
      </w:pPr>
    </w:p>
    <w:p w14:paraId="6D7C9385" w14:textId="051A1DBE" w:rsidR="00DC7F3F" w:rsidRPr="00D80482" w:rsidRDefault="00AE2AA6" w:rsidP="00AE2AA6">
      <w:pPr>
        <w:spacing w:line="360" w:lineRule="auto"/>
        <w:ind w:left="-142"/>
        <w:jc w:val="both"/>
        <w:rPr>
          <w:rFonts w:ascii="Century Gothic" w:hAnsi="Century Gothic" w:cs="Times New Roman"/>
          <w:sz w:val="24"/>
          <w:szCs w:val="24"/>
        </w:rPr>
      </w:pPr>
      <w:r w:rsidRPr="00D80482">
        <w:rPr>
          <w:rFonts w:ascii="Century Gothic" w:hAnsi="Century Gothic" w:cs="Times New Roman"/>
          <w:sz w:val="24"/>
          <w:szCs w:val="24"/>
        </w:rPr>
        <w:t>By Order of the NSWG</w:t>
      </w:r>
    </w:p>
    <w:sectPr w:rsidR="00DC7F3F" w:rsidRPr="00D804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C258D"/>
    <w:multiLevelType w:val="hybridMultilevel"/>
    <w:tmpl w:val="DE32C8A0"/>
    <w:lvl w:ilvl="0" w:tplc="0809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B44A3"/>
    <w:multiLevelType w:val="hybridMultilevel"/>
    <w:tmpl w:val="15CCB034"/>
    <w:lvl w:ilvl="0" w:tplc="08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11A8B"/>
    <w:multiLevelType w:val="hybridMultilevel"/>
    <w:tmpl w:val="D0B2BFC0"/>
    <w:lvl w:ilvl="0" w:tplc="20000019">
      <w:start w:val="1"/>
      <w:numFmt w:val="lowerLetter"/>
      <w:lvlText w:val="%1."/>
      <w:lvlJc w:val="left"/>
      <w:pPr>
        <w:ind w:left="1069" w:hanging="360"/>
      </w:pPr>
    </w:lvl>
    <w:lvl w:ilvl="1" w:tplc="AE0C7B76">
      <w:start w:val="8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05661EF"/>
    <w:multiLevelType w:val="hybridMultilevel"/>
    <w:tmpl w:val="020E0B8E"/>
    <w:lvl w:ilvl="0" w:tplc="2000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50" w:hanging="360"/>
      </w:pPr>
    </w:lvl>
    <w:lvl w:ilvl="2" w:tplc="FFFFFFFF" w:tentative="1">
      <w:start w:val="1"/>
      <w:numFmt w:val="lowerRoman"/>
      <w:lvlText w:val="%3."/>
      <w:lvlJc w:val="right"/>
      <w:pPr>
        <w:ind w:left="2170" w:hanging="180"/>
      </w:pPr>
    </w:lvl>
    <w:lvl w:ilvl="3" w:tplc="FFFFFFFF" w:tentative="1">
      <w:start w:val="1"/>
      <w:numFmt w:val="decimal"/>
      <w:lvlText w:val="%4."/>
      <w:lvlJc w:val="left"/>
      <w:pPr>
        <w:ind w:left="2890" w:hanging="360"/>
      </w:pPr>
    </w:lvl>
    <w:lvl w:ilvl="4" w:tplc="FFFFFFFF" w:tentative="1">
      <w:start w:val="1"/>
      <w:numFmt w:val="lowerLetter"/>
      <w:lvlText w:val="%5."/>
      <w:lvlJc w:val="left"/>
      <w:pPr>
        <w:ind w:left="3610" w:hanging="360"/>
      </w:pPr>
    </w:lvl>
    <w:lvl w:ilvl="5" w:tplc="FFFFFFFF" w:tentative="1">
      <w:start w:val="1"/>
      <w:numFmt w:val="lowerRoman"/>
      <w:lvlText w:val="%6."/>
      <w:lvlJc w:val="right"/>
      <w:pPr>
        <w:ind w:left="4330" w:hanging="180"/>
      </w:pPr>
    </w:lvl>
    <w:lvl w:ilvl="6" w:tplc="FFFFFFFF" w:tentative="1">
      <w:start w:val="1"/>
      <w:numFmt w:val="decimal"/>
      <w:lvlText w:val="%7."/>
      <w:lvlJc w:val="left"/>
      <w:pPr>
        <w:ind w:left="5050" w:hanging="360"/>
      </w:pPr>
    </w:lvl>
    <w:lvl w:ilvl="7" w:tplc="FFFFFFFF" w:tentative="1">
      <w:start w:val="1"/>
      <w:numFmt w:val="lowerLetter"/>
      <w:lvlText w:val="%8."/>
      <w:lvlJc w:val="left"/>
      <w:pPr>
        <w:ind w:left="5770" w:hanging="360"/>
      </w:pPr>
    </w:lvl>
    <w:lvl w:ilvl="8" w:tplc="FFFFFFFF" w:tentative="1">
      <w:start w:val="1"/>
      <w:numFmt w:val="lowerRoman"/>
      <w:lvlText w:val="%9."/>
      <w:lvlJc w:val="right"/>
      <w:pPr>
        <w:ind w:left="6490" w:hanging="180"/>
      </w:pPr>
    </w:lvl>
  </w:abstractNum>
  <w:num w:numId="1" w16cid:durableId="23599745">
    <w:abstractNumId w:val="1"/>
  </w:num>
  <w:num w:numId="2" w16cid:durableId="362757168">
    <w:abstractNumId w:val="2"/>
  </w:num>
  <w:num w:numId="3" w16cid:durableId="1496649517">
    <w:abstractNumId w:val="0"/>
  </w:num>
  <w:num w:numId="4" w16cid:durableId="1539053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A6"/>
    <w:rsid w:val="0018222B"/>
    <w:rsid w:val="001C0987"/>
    <w:rsid w:val="001F3BE3"/>
    <w:rsid w:val="002765F2"/>
    <w:rsid w:val="003342B8"/>
    <w:rsid w:val="003F7729"/>
    <w:rsid w:val="004B2DB7"/>
    <w:rsid w:val="005D511C"/>
    <w:rsid w:val="0070132D"/>
    <w:rsid w:val="007E2874"/>
    <w:rsid w:val="00822042"/>
    <w:rsid w:val="0089217D"/>
    <w:rsid w:val="00922AA9"/>
    <w:rsid w:val="009761CF"/>
    <w:rsid w:val="00982FA8"/>
    <w:rsid w:val="00A30040"/>
    <w:rsid w:val="00AE2AA6"/>
    <w:rsid w:val="00B8356A"/>
    <w:rsid w:val="00C06844"/>
    <w:rsid w:val="00C36C81"/>
    <w:rsid w:val="00D01E87"/>
    <w:rsid w:val="00D80482"/>
    <w:rsid w:val="00DA4238"/>
    <w:rsid w:val="00DC7F3F"/>
    <w:rsid w:val="00DD22B1"/>
    <w:rsid w:val="00E82573"/>
    <w:rsid w:val="00ED046D"/>
    <w:rsid w:val="00EE6423"/>
    <w:rsid w:val="00EE6B38"/>
    <w:rsid w:val="00F4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914B1"/>
  <w15:chartTrackingRefBased/>
  <w15:docId w15:val="{73582ADE-182C-4F50-9256-0CBCB860D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AA6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AA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E2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Kingsley Ochasi</dc:creator>
  <cp:keywords/>
  <dc:description/>
  <cp:lastModifiedBy>Kingsley Ochasi</cp:lastModifiedBy>
  <cp:revision>21</cp:revision>
  <cp:lastPrinted>2024-09-25T08:15:00Z</cp:lastPrinted>
  <dcterms:created xsi:type="dcterms:W3CDTF">2024-09-19T14:50:00Z</dcterms:created>
  <dcterms:modified xsi:type="dcterms:W3CDTF">2024-09-25T08:33:00Z</dcterms:modified>
</cp:coreProperties>
</file>