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EE314" w14:textId="0C738C7B" w:rsidR="008559BC" w:rsidRPr="00AD7A6C" w:rsidRDefault="008559BC" w:rsidP="006E69D2">
      <w:pPr>
        <w:pStyle w:val="ListParagraph"/>
        <w:numPr>
          <w:ilvl w:val="0"/>
          <w:numId w:val="7"/>
        </w:numPr>
        <w:jc w:val="both"/>
        <w:rPr>
          <w:rFonts w:ascii="Footlight MT Light" w:hAnsi="Footlight MT Light"/>
          <w:b/>
          <w:bCs/>
          <w:i/>
          <w:iCs/>
          <w:sz w:val="24"/>
          <w:szCs w:val="24"/>
        </w:rPr>
      </w:pPr>
      <w:r w:rsidRPr="00AD7A6C">
        <w:rPr>
          <w:rFonts w:ascii="Footlight MT Light" w:hAnsi="Footlight MT Light"/>
          <w:b/>
          <w:bCs/>
          <w:i/>
          <w:iCs/>
          <w:sz w:val="24"/>
          <w:szCs w:val="24"/>
        </w:rPr>
        <w:t>Background</w:t>
      </w:r>
    </w:p>
    <w:p w14:paraId="644CC057" w14:textId="77777777" w:rsidR="008A60A1" w:rsidRPr="00AD7A6C" w:rsidRDefault="008A60A1" w:rsidP="006E69D2">
      <w:pPr>
        <w:jc w:val="both"/>
        <w:rPr>
          <w:rFonts w:ascii="Footlight MT Light" w:hAnsi="Footlight MT Light"/>
          <w:sz w:val="24"/>
          <w:szCs w:val="24"/>
        </w:rPr>
      </w:pPr>
      <w:r w:rsidRPr="00AD7A6C">
        <w:rPr>
          <w:rFonts w:ascii="Footlight MT Light" w:hAnsi="Footlight MT Light"/>
          <w:sz w:val="24"/>
          <w:szCs w:val="24"/>
        </w:rPr>
        <w:t>The EITI report provides a comprehensive overview of a country’s extractive sector, including but not limited to mineral production, revenue collection and allocation, social, environmental, gender issues and governance processes. These reports are prepared by an Independent Administrator (IA) and overseen by a multi-stakeholder group (MSG) to ensure transparency and accountability. To ensure EITI reports are comprehensive, accurate, and timely, and meet the requirements of the EITI Standard and relevant national laws. The EITI Guidance Note 9 (Suggested checklist for establishing the scope of EITI reporting) recommends a scoping study before the commencement of a reporting cycle.</w:t>
      </w:r>
    </w:p>
    <w:p w14:paraId="2B15316F" w14:textId="0D496492" w:rsidR="008A60A1" w:rsidRPr="00AD7A6C" w:rsidRDefault="008A60A1" w:rsidP="006E69D2">
      <w:pPr>
        <w:jc w:val="both"/>
        <w:rPr>
          <w:rFonts w:ascii="Footlight MT Light" w:hAnsi="Footlight MT Light"/>
          <w:sz w:val="24"/>
          <w:szCs w:val="24"/>
        </w:rPr>
      </w:pPr>
      <w:r w:rsidRPr="00AD7A6C">
        <w:rPr>
          <w:rFonts w:ascii="Footlight MT Light" w:hAnsi="Footlight MT Light"/>
          <w:sz w:val="24"/>
          <w:szCs w:val="24"/>
        </w:rPr>
        <w:t>The scoping study is essential for Nigeria EITI reports to ensure they meet the EITI Standard. The scoping of disclosure requirements in Nigeria’s extractive industry will define the 2022-2023 Nigeria EITI Oil, Gas, Mining and Resource Disbursement Report's focus, update Nigeria EITI’s disclosure practices aligning the Nigeria Stakeholder Working Group's (NSWG) goals with Nigeria extractive sector specifics for the reporting period.</w:t>
      </w:r>
    </w:p>
    <w:p w14:paraId="2B647CA5" w14:textId="53A3F1F4" w:rsidR="009A5A66" w:rsidRPr="00AD7A6C" w:rsidRDefault="009A5A66" w:rsidP="006E69D2">
      <w:pPr>
        <w:jc w:val="both"/>
        <w:rPr>
          <w:rFonts w:ascii="Footlight MT Light" w:hAnsi="Footlight MT Light"/>
          <w:sz w:val="24"/>
          <w:szCs w:val="24"/>
        </w:rPr>
      </w:pPr>
      <w:r w:rsidRPr="00AD7A6C">
        <w:rPr>
          <w:rFonts w:ascii="Footlight MT Light" w:hAnsi="Footlight MT Light"/>
          <w:sz w:val="24"/>
          <w:szCs w:val="24"/>
        </w:rPr>
        <w:t>The current status of EITI implementation within Nigeria's extractive sector reflects fair progress with ongoing challenges. Nigeria has made strides in disclosing reconcile</w:t>
      </w:r>
      <w:r w:rsidR="00C618ED" w:rsidRPr="00AD7A6C">
        <w:rPr>
          <w:rFonts w:ascii="Footlight MT Light" w:hAnsi="Footlight MT Light"/>
          <w:sz w:val="24"/>
          <w:szCs w:val="24"/>
        </w:rPr>
        <w:t>d</w:t>
      </w:r>
      <w:r w:rsidRPr="00AD7A6C">
        <w:rPr>
          <w:rFonts w:ascii="Footlight MT Light" w:hAnsi="Footlight MT Light"/>
          <w:sz w:val="24"/>
          <w:szCs w:val="24"/>
        </w:rPr>
        <w:t xml:space="preserve"> and validated extractive industry revenues and promoting transparency, garnering international recognition, with the country's early adoption of the EITI seen as a catalyst for ongoing reforms and transparency. Nigeria's EITI implementation has been assessed as achieving "moderate progress" in implementing the EITI Standard from the 2023 EITI Country Validation Report. </w:t>
      </w:r>
    </w:p>
    <w:p w14:paraId="490E8781" w14:textId="77777777" w:rsidR="009A5A66" w:rsidRPr="00AD7A6C" w:rsidRDefault="009A5A66" w:rsidP="006E69D2">
      <w:pPr>
        <w:jc w:val="both"/>
        <w:rPr>
          <w:rFonts w:ascii="Footlight MT Light" w:hAnsi="Footlight MT Light"/>
          <w:sz w:val="24"/>
          <w:szCs w:val="24"/>
        </w:rPr>
      </w:pPr>
      <w:r w:rsidRPr="00AD7A6C">
        <w:rPr>
          <w:rFonts w:ascii="Footlight MT Light" w:hAnsi="Footlight MT Light"/>
          <w:sz w:val="24"/>
          <w:szCs w:val="24"/>
        </w:rPr>
        <w:t>However, issues persist, including gaps in data quality, contacts and license disclosure, web-based online license register for the oil sector, poor beneficial owner data disclosure, inadequate revenue data disaggregation, limited civil society engagement, and insufficient oversight in revenue management.</w:t>
      </w:r>
    </w:p>
    <w:p w14:paraId="728737F8" w14:textId="4D71373B" w:rsidR="009A5A66" w:rsidRPr="00AD7A6C" w:rsidRDefault="009A5A66" w:rsidP="006E69D2">
      <w:pPr>
        <w:jc w:val="both"/>
        <w:rPr>
          <w:rFonts w:ascii="Footlight MT Light" w:hAnsi="Footlight MT Light"/>
          <w:sz w:val="24"/>
          <w:szCs w:val="24"/>
        </w:rPr>
      </w:pPr>
      <w:r w:rsidRPr="00AD7A6C">
        <w:rPr>
          <w:rFonts w:ascii="Footlight MT Light" w:hAnsi="Footlight MT Light"/>
          <w:sz w:val="24"/>
          <w:szCs w:val="24"/>
        </w:rPr>
        <w:t>Despite these challenges, Nigeria continues to demonstrate commitment to EITI principles, but further efforts are needed to address existing gaps and ensure the full realization of transparency and accountability goals.</w:t>
      </w:r>
    </w:p>
    <w:p w14:paraId="76F12079" w14:textId="1F2CA5FA" w:rsidR="008559BC" w:rsidRPr="00AD7A6C" w:rsidRDefault="008559BC" w:rsidP="006E69D2">
      <w:pPr>
        <w:pStyle w:val="ListParagraph"/>
        <w:numPr>
          <w:ilvl w:val="0"/>
          <w:numId w:val="7"/>
        </w:numPr>
        <w:jc w:val="both"/>
        <w:rPr>
          <w:rFonts w:ascii="Footlight MT Light" w:hAnsi="Footlight MT Light"/>
          <w:b/>
          <w:bCs/>
          <w:i/>
          <w:iCs/>
          <w:sz w:val="24"/>
          <w:szCs w:val="24"/>
        </w:rPr>
      </w:pPr>
      <w:r w:rsidRPr="00AD7A6C">
        <w:rPr>
          <w:rFonts w:ascii="Footlight MT Light" w:hAnsi="Footlight MT Light"/>
          <w:b/>
          <w:bCs/>
          <w:i/>
          <w:iCs/>
          <w:sz w:val="24"/>
          <w:szCs w:val="24"/>
        </w:rPr>
        <w:t>Legal and Institutional Framework</w:t>
      </w:r>
    </w:p>
    <w:p w14:paraId="30183339" w14:textId="5EC83C6C" w:rsidR="007D7633" w:rsidRPr="00AD7A6C" w:rsidRDefault="007D7633" w:rsidP="006E69D2">
      <w:pPr>
        <w:jc w:val="both"/>
        <w:rPr>
          <w:rFonts w:ascii="Footlight MT Light" w:hAnsi="Footlight MT Light"/>
          <w:sz w:val="24"/>
          <w:szCs w:val="24"/>
        </w:rPr>
      </w:pPr>
      <w:r w:rsidRPr="00AD7A6C">
        <w:rPr>
          <w:rFonts w:ascii="Footlight MT Light" w:hAnsi="Footlight MT Light"/>
          <w:sz w:val="24"/>
          <w:szCs w:val="24"/>
        </w:rPr>
        <w:t>The ownership and control of all minerals, mineral oil, and natural gas within Nigeria, including its territorial waters and exclusive economic zone, are vested in the Government of the Federation as per Section 44(3) of the 1999 Constitution. Until August 2021, petroleum activities were regulated primarily by the Petroleum Act of 1969, while the solid mineral sector was governed by the Minerals and Mining Act (2007) and Minerals and Mining Regulations 2011. These laws, supplemented by various others, govern all aspects of</w:t>
      </w:r>
      <w:r w:rsidR="00A8761C" w:rsidRPr="00AD7A6C">
        <w:rPr>
          <w:rFonts w:ascii="Footlight MT Light" w:hAnsi="Footlight MT Light"/>
          <w:sz w:val="24"/>
          <w:szCs w:val="24"/>
        </w:rPr>
        <w:t xml:space="preserve"> Nigeria’s</w:t>
      </w:r>
      <w:r w:rsidRPr="00AD7A6C">
        <w:rPr>
          <w:rFonts w:ascii="Footlight MT Light" w:hAnsi="Footlight MT Light"/>
          <w:sz w:val="24"/>
          <w:szCs w:val="24"/>
        </w:rPr>
        <w:t xml:space="preserve"> extractive sector's operations. </w:t>
      </w:r>
      <w:r w:rsidR="00A8761C" w:rsidRPr="00AD7A6C">
        <w:rPr>
          <w:rFonts w:ascii="Footlight MT Light" w:hAnsi="Footlight MT Light"/>
          <w:sz w:val="24"/>
          <w:szCs w:val="24"/>
        </w:rPr>
        <w:t>O</w:t>
      </w:r>
      <w:r w:rsidRPr="00AD7A6C">
        <w:rPr>
          <w:rFonts w:ascii="Footlight MT Light" w:hAnsi="Footlight MT Light"/>
          <w:sz w:val="24"/>
          <w:szCs w:val="24"/>
        </w:rPr>
        <w:t>utlined below</w:t>
      </w:r>
      <w:r w:rsidR="00A8761C" w:rsidRPr="00AD7A6C">
        <w:rPr>
          <w:rFonts w:ascii="Footlight MT Light" w:hAnsi="Footlight MT Light"/>
          <w:sz w:val="24"/>
          <w:szCs w:val="24"/>
        </w:rPr>
        <w:t xml:space="preserve"> are a few</w:t>
      </w:r>
      <w:r w:rsidRPr="00AD7A6C">
        <w:rPr>
          <w:rFonts w:ascii="Footlight MT Light" w:hAnsi="Footlight MT Light"/>
          <w:sz w:val="24"/>
          <w:szCs w:val="24"/>
        </w:rPr>
        <w:t>:</w:t>
      </w:r>
    </w:p>
    <w:p w14:paraId="732F0256" w14:textId="77777777"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Companies Regulations 2021</w:t>
      </w:r>
    </w:p>
    <w:p w14:paraId="5233A3A4" w14:textId="1846E795"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Companies and Allied Matters Act 2020</w:t>
      </w:r>
    </w:p>
    <w:p w14:paraId="4D2647C7" w14:textId="0FDB6BCF"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Nigerian Investment Promotion Commission Act (NIPCA)</w:t>
      </w:r>
    </w:p>
    <w:p w14:paraId="509C8C90" w14:textId="40802734"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Land Use Act Chapter 202, Laws of the Federation of Nigeria 2004</w:t>
      </w:r>
    </w:p>
    <w:p w14:paraId="20C9400A" w14:textId="5CD10848"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Environmental Impact Assessment Act No 86 1992</w:t>
      </w:r>
    </w:p>
    <w:p w14:paraId="63AA7D4C" w14:textId="252DA765"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National Environmental Standards and Regulations Enforcement Agency (Establishment) Act, 2007</w:t>
      </w:r>
    </w:p>
    <w:p w14:paraId="4CD6467D" w14:textId="46F6FAD6"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Regulation 42 of the Petroleum (Drilling and Production) Regulations, 1969</w:t>
      </w:r>
    </w:p>
    <w:p w14:paraId="535AFB88" w14:textId="590A38BC"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Petroleum (Drilling and Production) Regulations, 1969</w:t>
      </w:r>
    </w:p>
    <w:p w14:paraId="64706D3E" w14:textId="313A2DAE"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lastRenderedPageBreak/>
        <w:t>Petroleum Refining Regulation, 1974</w:t>
      </w:r>
    </w:p>
    <w:p w14:paraId="481BBF63" w14:textId="2AA4A9CD"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Company Income Tax Act CAP. 60 LFN of 1990</w:t>
      </w:r>
    </w:p>
    <w:p w14:paraId="6B8A06F6" w14:textId="56B222DA"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The Nigerian LNG Fiscal Incentives Guarantees and Assurances CAP N87, 1990</w:t>
      </w:r>
    </w:p>
    <w:p w14:paraId="293A0EF1" w14:textId="3CCA5BA5"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Associated Gas Framework Agreement (AGFA) 1991 &amp; 1992</w:t>
      </w:r>
    </w:p>
    <w:p w14:paraId="335C0BE4" w14:textId="3F4C5B3D"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The Petroleum (Drilling and Production) regulations Act No. 69 LFN of 1996</w:t>
      </w:r>
    </w:p>
    <w:p w14:paraId="6D410996" w14:textId="53C4E9F9"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Deep Offshore and Inland Basin Production Sharing Contracts Act (No. 9) of 1999</w:t>
      </w:r>
    </w:p>
    <w:p w14:paraId="73199E93" w14:textId="6FFF2D2D"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Gas Finance (Miscellaneous Taxation Provisions) Acts 18 &amp; 19 of 1998 and Act 30 of 1999</w:t>
      </w:r>
    </w:p>
    <w:p w14:paraId="38E55A93" w14:textId="6CE33B7C"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Deep Water Block Allocations to Companies (Back in Rights) Regulations (2003)</w:t>
      </w:r>
    </w:p>
    <w:p w14:paraId="51D085E7" w14:textId="343BF25D"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Oil Prospecting License (conversion to Oil Mining Leases) Regulations</w:t>
      </w:r>
    </w:p>
    <w:p w14:paraId="47ADDA37" w14:textId="0A330F7A"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Petroleum Profits Tax Act (2004) Cap (P13), LFN</w:t>
      </w:r>
    </w:p>
    <w:p w14:paraId="73994E03" w14:textId="5E88D6EC"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Oil Pipelines Act (2004) Cap. (07), LFN</w:t>
      </w:r>
    </w:p>
    <w:p w14:paraId="5B52C7B8" w14:textId="60C4C92D"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Marginal Field Operations (Fiscal Regime) Regulations 2005</w:t>
      </w:r>
    </w:p>
    <w:p w14:paraId="11C4B6C9" w14:textId="3E2F38B8"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Companies Income Tax Act Amendment (Section 39) 2007</w:t>
      </w:r>
    </w:p>
    <w:p w14:paraId="42A507CC" w14:textId="6D3ACC5D"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National Domestic Gas Supply and Pricing Regulations 2008</w:t>
      </w:r>
    </w:p>
    <w:p w14:paraId="50290196" w14:textId="43E76FB1" w:rsidR="007D7633" w:rsidRPr="00AD7A6C" w:rsidRDefault="007D7633" w:rsidP="006E69D2">
      <w:pPr>
        <w:pStyle w:val="ListParagraph"/>
        <w:numPr>
          <w:ilvl w:val="1"/>
          <w:numId w:val="1"/>
        </w:numPr>
        <w:jc w:val="both"/>
        <w:rPr>
          <w:rFonts w:ascii="Footlight MT Light" w:hAnsi="Footlight MT Light"/>
          <w:sz w:val="24"/>
          <w:szCs w:val="24"/>
        </w:rPr>
      </w:pPr>
      <w:r w:rsidRPr="00AD7A6C">
        <w:rPr>
          <w:rFonts w:ascii="Footlight MT Light" w:hAnsi="Footlight MT Light"/>
          <w:sz w:val="24"/>
          <w:szCs w:val="24"/>
        </w:rPr>
        <w:t>Companies and Allied Matters Act 2020</w:t>
      </w:r>
    </w:p>
    <w:p w14:paraId="57872B6A" w14:textId="77777777" w:rsidR="007D7633" w:rsidRPr="00AD7A6C" w:rsidRDefault="007D7633" w:rsidP="006E69D2">
      <w:pPr>
        <w:jc w:val="both"/>
        <w:rPr>
          <w:rFonts w:ascii="Footlight MT Light" w:hAnsi="Footlight MT Light"/>
          <w:sz w:val="24"/>
          <w:szCs w:val="24"/>
        </w:rPr>
      </w:pPr>
      <w:r w:rsidRPr="00AD7A6C">
        <w:rPr>
          <w:rFonts w:ascii="Footlight MT Light" w:hAnsi="Footlight MT Light"/>
          <w:sz w:val="24"/>
          <w:szCs w:val="24"/>
        </w:rPr>
        <w:t>Over the past two decades leading up to 2021, the legal framework for Nigeria's petroleum sector underwent significant reform to address well-documented criticisms of the previous system. The enactment of the Petroleum Industry Act (PIA) 2021 marked a milestone, providing a comprehensive framework covering legal, regulatory, fiscal, and governance aspects of the oil and gas sector. Notably, the PIA aims to promote economic growth, transparency, and sustainability, with provisions to transform the Nigerian National Petroleum Corporation (NNPC) into a commercially oriented entity and establish robust regulatory frameworks.</w:t>
      </w:r>
    </w:p>
    <w:p w14:paraId="5157F6BF" w14:textId="587AAE2D" w:rsidR="007D7633" w:rsidRPr="00AD7A6C" w:rsidRDefault="007D7633" w:rsidP="006E69D2">
      <w:pPr>
        <w:jc w:val="both"/>
        <w:rPr>
          <w:rFonts w:ascii="Footlight MT Light" w:hAnsi="Footlight MT Light"/>
          <w:sz w:val="24"/>
          <w:szCs w:val="24"/>
        </w:rPr>
      </w:pPr>
      <w:r w:rsidRPr="00AD7A6C">
        <w:rPr>
          <w:rFonts w:ascii="Footlight MT Light" w:hAnsi="Footlight MT Light"/>
          <w:sz w:val="24"/>
          <w:szCs w:val="24"/>
        </w:rPr>
        <w:t>The PIA 2021 also repealed several outdated legislations and introduced provisions to ensure continuity. Additionally, it led to the establishment of regulatory bodies such as the Nigeria Upstream Petroleum Regulatory Commission (NUPRC) and the Nigeria Midstream and Downstream Regulatory Authority (NMDPRA), further enhancing oversight and compliance within the sector. The Act emphasizes disclosures related to contracts, licensing, beneficial ownership data, and operational information to enhance transparency and accountability.</w:t>
      </w:r>
    </w:p>
    <w:p w14:paraId="3894FF2E" w14:textId="3EB3EB0E" w:rsidR="007D7633" w:rsidRPr="00AD7A6C" w:rsidRDefault="007D7633" w:rsidP="006E69D2">
      <w:pPr>
        <w:jc w:val="both"/>
        <w:rPr>
          <w:rFonts w:ascii="Footlight MT Light" w:hAnsi="Footlight MT Light"/>
          <w:sz w:val="24"/>
          <w:szCs w:val="24"/>
        </w:rPr>
      </w:pPr>
      <w:r w:rsidRPr="00AD7A6C">
        <w:rPr>
          <w:rFonts w:ascii="Footlight MT Light" w:hAnsi="Footlight MT Light"/>
          <w:sz w:val="24"/>
          <w:szCs w:val="24"/>
        </w:rPr>
        <w:t>Meanwhile, the Nigeria Mineral and Mining Act 2007 (NMMA) and Minerals and Mining Regulations 2011 (NMMR) govern the solid mineral sector, providing a framework for exploration, production, and regulation. These regulations, along with various other subsidiary laws, ensure compliance and operational standards within the sector, covering aspects such as environmental protection, community engagement, and revenue management</w:t>
      </w:r>
      <w:r w:rsidR="00A8761C" w:rsidRPr="00AD7A6C">
        <w:rPr>
          <w:rFonts w:ascii="Footlight MT Light" w:hAnsi="Footlight MT Light"/>
          <w:sz w:val="24"/>
          <w:szCs w:val="24"/>
        </w:rPr>
        <w:t xml:space="preserve"> etc</w:t>
      </w:r>
      <w:r w:rsidRPr="00AD7A6C">
        <w:rPr>
          <w:rFonts w:ascii="Footlight MT Light" w:hAnsi="Footlight MT Light"/>
          <w:sz w:val="24"/>
          <w:szCs w:val="24"/>
        </w:rPr>
        <w:t>.</w:t>
      </w:r>
    </w:p>
    <w:p w14:paraId="3A2EBC18" w14:textId="4FBCBB6F"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 xml:space="preserve">The government entities involved in the administration and governance of the oil, gas and the mining sectors are </w:t>
      </w:r>
      <w:r w:rsidR="00A8761C" w:rsidRPr="00AD7A6C">
        <w:rPr>
          <w:rFonts w:ascii="Footlight MT Light" w:hAnsi="Footlight MT Light" w:cstheme="minorHAnsi"/>
          <w:sz w:val="24"/>
          <w:szCs w:val="24"/>
        </w:rPr>
        <w:t>listed</w:t>
      </w:r>
      <w:r w:rsidRPr="00AD7A6C">
        <w:rPr>
          <w:rFonts w:ascii="Footlight MT Light" w:hAnsi="Footlight MT Light" w:cstheme="minorHAnsi"/>
          <w:sz w:val="24"/>
          <w:szCs w:val="24"/>
        </w:rPr>
        <w:t xml:space="preserve"> below:</w:t>
      </w:r>
    </w:p>
    <w:p w14:paraId="415E4672" w14:textId="77777777" w:rsidR="002A2999" w:rsidRPr="00AD7A6C" w:rsidRDefault="002A2999" w:rsidP="006E69D2">
      <w:pPr>
        <w:spacing w:before="100" w:beforeAutospacing="1" w:after="100" w:afterAutospacing="1"/>
        <w:jc w:val="both"/>
        <w:rPr>
          <w:rFonts w:ascii="Footlight MT Light" w:hAnsi="Footlight MT Light" w:cstheme="minorHAnsi"/>
          <w:sz w:val="24"/>
          <w:szCs w:val="24"/>
        </w:rPr>
      </w:pPr>
    </w:p>
    <w:p w14:paraId="0AFB711F" w14:textId="77777777" w:rsidR="002A2999" w:rsidRPr="00AD7A6C" w:rsidRDefault="002A2999" w:rsidP="006E69D2">
      <w:pPr>
        <w:spacing w:before="100" w:beforeAutospacing="1" w:after="100" w:afterAutospacing="1"/>
        <w:jc w:val="both"/>
        <w:rPr>
          <w:rFonts w:ascii="Footlight MT Light" w:hAnsi="Footlight MT Light" w:cstheme="minorHAnsi"/>
          <w:sz w:val="24"/>
          <w:szCs w:val="24"/>
        </w:rPr>
      </w:pPr>
    </w:p>
    <w:tbl>
      <w:tblPr>
        <w:tblStyle w:val="GridTable4-Accent6"/>
        <w:tblW w:w="0" w:type="auto"/>
        <w:tblLook w:val="04A0" w:firstRow="1" w:lastRow="0" w:firstColumn="1" w:lastColumn="0" w:noHBand="0" w:noVBand="1"/>
      </w:tblPr>
      <w:tblGrid>
        <w:gridCol w:w="704"/>
        <w:gridCol w:w="3969"/>
        <w:gridCol w:w="4337"/>
      </w:tblGrid>
      <w:tr w:rsidR="00AD7A6C" w:rsidRPr="00AD7A6C" w14:paraId="60D0C09D" w14:textId="77777777" w:rsidTr="009160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2DF2B44B" w14:textId="77777777" w:rsidR="006676A3" w:rsidRPr="00AD7A6C" w:rsidRDefault="006676A3" w:rsidP="006E69D2">
            <w:pPr>
              <w:spacing w:before="100" w:beforeAutospacing="1" w:after="100" w:afterAutospacing="1"/>
              <w:jc w:val="both"/>
              <w:rPr>
                <w:rFonts w:ascii="Footlight MT Light" w:hAnsi="Footlight MT Light" w:cstheme="minorHAnsi"/>
                <w:color w:val="auto"/>
                <w:sz w:val="24"/>
                <w:szCs w:val="24"/>
              </w:rPr>
            </w:pPr>
            <w:r w:rsidRPr="00AD7A6C">
              <w:rPr>
                <w:rFonts w:ascii="Footlight MT Light" w:hAnsi="Footlight MT Light" w:cstheme="minorHAnsi"/>
                <w:color w:val="auto"/>
                <w:sz w:val="24"/>
                <w:szCs w:val="24"/>
              </w:rPr>
              <w:lastRenderedPageBreak/>
              <w:t>S/N</w:t>
            </w:r>
          </w:p>
        </w:tc>
        <w:tc>
          <w:tcPr>
            <w:tcW w:w="3969" w:type="dxa"/>
          </w:tcPr>
          <w:p w14:paraId="52FB7756" w14:textId="77777777" w:rsidR="006676A3" w:rsidRPr="00AD7A6C" w:rsidRDefault="006676A3" w:rsidP="006E69D2">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Footlight MT Light" w:hAnsi="Footlight MT Light" w:cstheme="minorHAnsi"/>
                <w:color w:val="auto"/>
                <w:sz w:val="24"/>
                <w:szCs w:val="24"/>
              </w:rPr>
            </w:pPr>
            <w:r w:rsidRPr="00AD7A6C">
              <w:rPr>
                <w:rFonts w:ascii="Footlight MT Light" w:hAnsi="Footlight MT Light" w:cstheme="minorHAnsi"/>
                <w:color w:val="auto"/>
                <w:sz w:val="24"/>
                <w:szCs w:val="24"/>
              </w:rPr>
              <w:t>Government Entity</w:t>
            </w:r>
          </w:p>
        </w:tc>
        <w:tc>
          <w:tcPr>
            <w:tcW w:w="4337" w:type="dxa"/>
          </w:tcPr>
          <w:p w14:paraId="141E1322" w14:textId="77777777" w:rsidR="006676A3" w:rsidRPr="00AD7A6C" w:rsidRDefault="006676A3" w:rsidP="006E69D2">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Footlight MT Light" w:hAnsi="Footlight MT Light" w:cstheme="minorHAnsi"/>
                <w:color w:val="auto"/>
                <w:sz w:val="24"/>
                <w:szCs w:val="24"/>
              </w:rPr>
            </w:pPr>
            <w:r w:rsidRPr="00AD7A6C">
              <w:rPr>
                <w:rFonts w:ascii="Footlight MT Light" w:hAnsi="Footlight MT Light" w:cstheme="minorHAnsi"/>
                <w:color w:val="auto"/>
                <w:sz w:val="24"/>
                <w:szCs w:val="24"/>
              </w:rPr>
              <w:t>Website</w:t>
            </w:r>
          </w:p>
        </w:tc>
      </w:tr>
      <w:tr w:rsidR="00AD7A6C" w:rsidRPr="00AD7A6C" w14:paraId="0AC465AD"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37A28E4"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w:t>
            </w:r>
          </w:p>
        </w:tc>
        <w:tc>
          <w:tcPr>
            <w:tcW w:w="3969" w:type="dxa"/>
          </w:tcPr>
          <w:p w14:paraId="407F9536"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 xml:space="preserve">Ministry of Petroleum Resources </w:t>
            </w:r>
          </w:p>
        </w:tc>
        <w:tc>
          <w:tcPr>
            <w:tcW w:w="4337" w:type="dxa"/>
          </w:tcPr>
          <w:p w14:paraId="798BFF0C"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p>
        </w:tc>
      </w:tr>
      <w:tr w:rsidR="00AD7A6C" w:rsidRPr="00AD7A6C" w14:paraId="45F396C2"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2B7D4A22"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2</w:t>
            </w:r>
          </w:p>
        </w:tc>
        <w:tc>
          <w:tcPr>
            <w:tcW w:w="3969" w:type="dxa"/>
          </w:tcPr>
          <w:p w14:paraId="0091BB3E"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Nigerian Upstream Petroleum Regulatory Commission (NUPRC)</w:t>
            </w:r>
          </w:p>
        </w:tc>
        <w:tc>
          <w:tcPr>
            <w:tcW w:w="4337" w:type="dxa"/>
          </w:tcPr>
          <w:p w14:paraId="71C8F889"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hyperlink r:id="rId6" w:history="1">
              <w:r w:rsidRPr="00AD7A6C">
                <w:rPr>
                  <w:rStyle w:val="Hyperlink"/>
                  <w:rFonts w:ascii="Footlight MT Light" w:hAnsi="Footlight MT Light" w:cstheme="minorHAnsi"/>
                  <w:color w:val="auto"/>
                  <w:sz w:val="24"/>
                  <w:szCs w:val="24"/>
                </w:rPr>
                <w:t>https://www.nuprc.gov.ng/index.php</w:t>
              </w:r>
            </w:hyperlink>
            <w:r w:rsidRPr="00AD7A6C">
              <w:rPr>
                <w:rFonts w:ascii="Footlight MT Light" w:hAnsi="Footlight MT Light" w:cstheme="minorHAnsi"/>
                <w:sz w:val="24"/>
                <w:szCs w:val="24"/>
              </w:rPr>
              <w:t xml:space="preserve">  </w:t>
            </w:r>
          </w:p>
        </w:tc>
      </w:tr>
      <w:tr w:rsidR="00AD7A6C" w:rsidRPr="00AD7A6C" w14:paraId="313F53DC"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CEB6094"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3</w:t>
            </w:r>
          </w:p>
        </w:tc>
        <w:tc>
          <w:tcPr>
            <w:tcW w:w="3969" w:type="dxa"/>
          </w:tcPr>
          <w:p w14:paraId="5CE4C7E9"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Nigerian Midstream and Downstream Petroleum Regulatory Agency (NMDPRA)</w:t>
            </w:r>
          </w:p>
          <w:p w14:paraId="4FD60DAF"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p>
        </w:tc>
        <w:tc>
          <w:tcPr>
            <w:tcW w:w="4337" w:type="dxa"/>
          </w:tcPr>
          <w:p w14:paraId="61D7DCD2"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hyperlink r:id="rId7" w:history="1">
              <w:r w:rsidRPr="00AD7A6C">
                <w:rPr>
                  <w:rStyle w:val="Hyperlink"/>
                  <w:rFonts w:ascii="Footlight MT Light" w:hAnsi="Footlight MT Light" w:cstheme="minorHAnsi"/>
                  <w:color w:val="auto"/>
                  <w:sz w:val="24"/>
                  <w:szCs w:val="24"/>
                </w:rPr>
                <w:t>https://www.nmdpra.gov.ng/our-mandate/</w:t>
              </w:r>
            </w:hyperlink>
          </w:p>
        </w:tc>
      </w:tr>
      <w:tr w:rsidR="00AD7A6C" w:rsidRPr="00AD7A6C" w14:paraId="35C947A6"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6580E427"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4</w:t>
            </w:r>
          </w:p>
        </w:tc>
        <w:tc>
          <w:tcPr>
            <w:tcW w:w="3969" w:type="dxa"/>
          </w:tcPr>
          <w:p w14:paraId="1CBDA614"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Nigerian National Petroleum Company Limited</w:t>
            </w:r>
          </w:p>
        </w:tc>
        <w:tc>
          <w:tcPr>
            <w:tcW w:w="4337" w:type="dxa"/>
          </w:tcPr>
          <w:p w14:paraId="3299150C"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hyperlink r:id="rId8" w:history="1">
              <w:r w:rsidRPr="00AD7A6C">
                <w:rPr>
                  <w:rStyle w:val="Hyperlink"/>
                  <w:rFonts w:ascii="Footlight MT Light" w:hAnsi="Footlight MT Light" w:cstheme="minorHAnsi"/>
                  <w:color w:val="auto"/>
                  <w:sz w:val="24"/>
                  <w:szCs w:val="24"/>
                </w:rPr>
                <w:t>https://www.nnpcgroup.com/who-we-are</w:t>
              </w:r>
            </w:hyperlink>
          </w:p>
        </w:tc>
      </w:tr>
      <w:tr w:rsidR="00AD7A6C" w:rsidRPr="00AD7A6C" w14:paraId="74F2008C"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5CE806D"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5</w:t>
            </w:r>
          </w:p>
        </w:tc>
        <w:tc>
          <w:tcPr>
            <w:tcW w:w="3969" w:type="dxa"/>
          </w:tcPr>
          <w:p w14:paraId="5E219642"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Federal Inland Revenue Service</w:t>
            </w:r>
          </w:p>
        </w:tc>
        <w:tc>
          <w:tcPr>
            <w:tcW w:w="4337" w:type="dxa"/>
          </w:tcPr>
          <w:p w14:paraId="498E58D0"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hyperlink r:id="rId9" w:history="1">
              <w:r w:rsidRPr="00AD7A6C">
                <w:rPr>
                  <w:rStyle w:val="Hyperlink"/>
                  <w:rFonts w:ascii="Footlight MT Light" w:hAnsi="Footlight MT Light" w:cstheme="minorHAnsi"/>
                  <w:color w:val="auto"/>
                  <w:sz w:val="24"/>
                  <w:szCs w:val="24"/>
                </w:rPr>
                <w:t>https://www.firs.gov.ng</w:t>
              </w:r>
            </w:hyperlink>
            <w:r w:rsidRPr="00AD7A6C">
              <w:rPr>
                <w:rFonts w:ascii="Footlight MT Light" w:hAnsi="Footlight MT Light" w:cstheme="minorHAnsi"/>
                <w:sz w:val="24"/>
                <w:szCs w:val="24"/>
              </w:rPr>
              <w:t xml:space="preserve"> </w:t>
            </w:r>
          </w:p>
        </w:tc>
      </w:tr>
      <w:tr w:rsidR="00AD7A6C" w:rsidRPr="00AD7A6C" w14:paraId="1EB9839A"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030BE4AA"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6</w:t>
            </w:r>
          </w:p>
        </w:tc>
        <w:tc>
          <w:tcPr>
            <w:tcW w:w="3969" w:type="dxa"/>
          </w:tcPr>
          <w:p w14:paraId="7A4FED26"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 xml:space="preserve">Niger Delta Development Commission </w:t>
            </w:r>
          </w:p>
        </w:tc>
        <w:tc>
          <w:tcPr>
            <w:tcW w:w="4337" w:type="dxa"/>
          </w:tcPr>
          <w:p w14:paraId="6749CF21"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hyperlink r:id="rId10" w:history="1">
              <w:r w:rsidRPr="00AD7A6C">
                <w:rPr>
                  <w:rStyle w:val="Hyperlink"/>
                  <w:rFonts w:ascii="Footlight MT Light" w:hAnsi="Footlight MT Light" w:cstheme="minorHAnsi"/>
                  <w:color w:val="auto"/>
                  <w:sz w:val="24"/>
                  <w:szCs w:val="24"/>
                </w:rPr>
                <w:t>https://www.nddc.gov.ng</w:t>
              </w:r>
            </w:hyperlink>
            <w:r w:rsidRPr="00AD7A6C">
              <w:rPr>
                <w:rFonts w:ascii="Footlight MT Light" w:hAnsi="Footlight MT Light" w:cstheme="minorHAnsi"/>
                <w:sz w:val="24"/>
                <w:szCs w:val="24"/>
              </w:rPr>
              <w:t xml:space="preserve"> </w:t>
            </w:r>
          </w:p>
          <w:p w14:paraId="159C0D5E"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p>
        </w:tc>
      </w:tr>
      <w:tr w:rsidR="00AD7A6C" w:rsidRPr="00AD7A6C" w14:paraId="5381431E"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DFA641D"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7</w:t>
            </w:r>
          </w:p>
        </w:tc>
        <w:tc>
          <w:tcPr>
            <w:tcW w:w="3969" w:type="dxa"/>
          </w:tcPr>
          <w:p w14:paraId="19DF9D15"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Nigerian Content Development and Monitoring Board</w:t>
            </w:r>
          </w:p>
        </w:tc>
        <w:tc>
          <w:tcPr>
            <w:tcW w:w="4337" w:type="dxa"/>
          </w:tcPr>
          <w:p w14:paraId="3299DB5D"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hyperlink r:id="rId11" w:history="1">
              <w:r w:rsidRPr="00AD7A6C">
                <w:rPr>
                  <w:rStyle w:val="Hyperlink"/>
                  <w:rFonts w:ascii="Footlight MT Light" w:hAnsi="Footlight MT Light" w:cstheme="minorHAnsi"/>
                  <w:color w:val="auto"/>
                  <w:sz w:val="24"/>
                  <w:szCs w:val="24"/>
                </w:rPr>
                <w:t>https://ncdmb.gov.ng</w:t>
              </w:r>
            </w:hyperlink>
            <w:r w:rsidRPr="00AD7A6C">
              <w:rPr>
                <w:rFonts w:ascii="Footlight MT Light" w:hAnsi="Footlight MT Light" w:cstheme="minorHAnsi"/>
                <w:sz w:val="24"/>
                <w:szCs w:val="24"/>
              </w:rPr>
              <w:t xml:space="preserve"> </w:t>
            </w:r>
          </w:p>
        </w:tc>
      </w:tr>
      <w:tr w:rsidR="00AD7A6C" w:rsidRPr="00AD7A6C" w14:paraId="4D44966C"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20F8C8EA" w14:textId="77777777" w:rsidR="006676A3" w:rsidRPr="00AD7A6C" w:rsidRDefault="006676A3"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8</w:t>
            </w:r>
          </w:p>
        </w:tc>
        <w:tc>
          <w:tcPr>
            <w:tcW w:w="3969" w:type="dxa"/>
          </w:tcPr>
          <w:p w14:paraId="03408BE2"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Federal Ministry of Finance Budget and National Planning</w:t>
            </w:r>
          </w:p>
        </w:tc>
        <w:tc>
          <w:tcPr>
            <w:tcW w:w="4337" w:type="dxa"/>
          </w:tcPr>
          <w:p w14:paraId="5E430C88"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hyperlink r:id="rId12" w:history="1">
              <w:r w:rsidRPr="00AD7A6C">
                <w:rPr>
                  <w:rStyle w:val="Hyperlink"/>
                  <w:rFonts w:ascii="Footlight MT Light" w:hAnsi="Footlight MT Light" w:cstheme="minorHAnsi"/>
                  <w:color w:val="auto"/>
                  <w:sz w:val="24"/>
                  <w:szCs w:val="24"/>
                </w:rPr>
                <w:t>https://finance.gov.ng</w:t>
              </w:r>
            </w:hyperlink>
            <w:r w:rsidRPr="00AD7A6C">
              <w:rPr>
                <w:rFonts w:ascii="Footlight MT Light" w:hAnsi="Footlight MT Light" w:cstheme="minorHAnsi"/>
                <w:sz w:val="24"/>
                <w:szCs w:val="24"/>
              </w:rPr>
              <w:t xml:space="preserve"> </w:t>
            </w:r>
          </w:p>
        </w:tc>
      </w:tr>
      <w:tr w:rsidR="00AD7A6C" w:rsidRPr="00AD7A6C" w14:paraId="1C5E3C29"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9128DF3" w14:textId="12C8DBC5"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9</w:t>
            </w:r>
          </w:p>
        </w:tc>
        <w:tc>
          <w:tcPr>
            <w:tcW w:w="3969" w:type="dxa"/>
          </w:tcPr>
          <w:p w14:paraId="37DC928C" w14:textId="6A3F6EF5"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Ministry of Mines and Steel Development (MMSD)</w:t>
            </w:r>
          </w:p>
        </w:tc>
        <w:tc>
          <w:tcPr>
            <w:tcW w:w="4337" w:type="dxa"/>
          </w:tcPr>
          <w:p w14:paraId="62D1AC9C" w14:textId="2B3CDA16" w:rsidR="006676A3" w:rsidRPr="00AD7A6C" w:rsidRDefault="00A367B2"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hyperlink r:id="rId13" w:history="1">
              <w:r w:rsidRPr="00AD7A6C">
                <w:rPr>
                  <w:rStyle w:val="Hyperlink"/>
                  <w:rFonts w:ascii="Footlight MT Light" w:hAnsi="Footlight MT Light"/>
                  <w:color w:val="auto"/>
                  <w:sz w:val="24"/>
                  <w:szCs w:val="24"/>
                </w:rPr>
                <w:t>https://minesandsteel.gov.ng/</w:t>
              </w:r>
            </w:hyperlink>
          </w:p>
          <w:p w14:paraId="23EED496" w14:textId="67440422" w:rsidR="00A367B2" w:rsidRPr="00AD7A6C" w:rsidRDefault="00A367B2"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p>
        </w:tc>
      </w:tr>
      <w:tr w:rsidR="00AD7A6C" w:rsidRPr="00AD7A6C" w14:paraId="2C9BE871"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372E4A20" w14:textId="2B9A470B"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10</w:t>
            </w:r>
          </w:p>
        </w:tc>
        <w:tc>
          <w:tcPr>
            <w:tcW w:w="3969" w:type="dxa"/>
          </w:tcPr>
          <w:p w14:paraId="05DE758F" w14:textId="7C9EDB09"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The Nigerian Geological Survey Agency (NGSA)</w:t>
            </w:r>
          </w:p>
        </w:tc>
        <w:tc>
          <w:tcPr>
            <w:tcW w:w="4337" w:type="dxa"/>
          </w:tcPr>
          <w:p w14:paraId="4250B0D0" w14:textId="7359B164" w:rsidR="006676A3" w:rsidRPr="00AD7A6C" w:rsidRDefault="00A367B2"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sz w:val="24"/>
                <w:szCs w:val="24"/>
              </w:rPr>
            </w:pPr>
            <w:hyperlink r:id="rId14" w:history="1">
              <w:r w:rsidRPr="00AD7A6C">
                <w:rPr>
                  <w:rStyle w:val="Hyperlink"/>
                  <w:rFonts w:ascii="Footlight MT Light" w:hAnsi="Footlight MT Light"/>
                  <w:color w:val="auto"/>
                  <w:sz w:val="24"/>
                  <w:szCs w:val="24"/>
                </w:rPr>
                <w:t>https://ngsa.gov.ng/</w:t>
              </w:r>
            </w:hyperlink>
            <w:r w:rsidRPr="00AD7A6C">
              <w:rPr>
                <w:rFonts w:ascii="Footlight MT Light" w:hAnsi="Footlight MT Light"/>
                <w:sz w:val="24"/>
                <w:szCs w:val="24"/>
              </w:rPr>
              <w:t xml:space="preserve"> </w:t>
            </w:r>
          </w:p>
        </w:tc>
      </w:tr>
      <w:tr w:rsidR="00AD7A6C" w:rsidRPr="00AD7A6C" w14:paraId="186A18E0"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DD0BF17" w14:textId="2CBBE042"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11</w:t>
            </w:r>
          </w:p>
        </w:tc>
        <w:tc>
          <w:tcPr>
            <w:tcW w:w="3969" w:type="dxa"/>
          </w:tcPr>
          <w:p w14:paraId="0C3FBBB6" w14:textId="4E425D78"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Mining Cadastre Office (MCO)</w:t>
            </w:r>
          </w:p>
        </w:tc>
        <w:tc>
          <w:tcPr>
            <w:tcW w:w="4337" w:type="dxa"/>
          </w:tcPr>
          <w:p w14:paraId="0410ED3E" w14:textId="65081A54" w:rsidR="006676A3" w:rsidRPr="00AD7A6C" w:rsidRDefault="00A367B2"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hyperlink r:id="rId15" w:history="1">
              <w:r w:rsidRPr="00AD7A6C">
                <w:rPr>
                  <w:rStyle w:val="Hyperlink"/>
                  <w:rFonts w:ascii="Footlight MT Light" w:hAnsi="Footlight MT Light"/>
                  <w:color w:val="auto"/>
                  <w:sz w:val="24"/>
                  <w:szCs w:val="24"/>
                </w:rPr>
                <w:t>https://www.miningcadastre.gov.ng/</w:t>
              </w:r>
            </w:hyperlink>
            <w:r w:rsidRPr="00AD7A6C">
              <w:rPr>
                <w:rFonts w:ascii="Footlight MT Light" w:hAnsi="Footlight MT Light"/>
                <w:sz w:val="24"/>
                <w:szCs w:val="24"/>
              </w:rPr>
              <w:t xml:space="preserve"> </w:t>
            </w:r>
          </w:p>
        </w:tc>
      </w:tr>
      <w:tr w:rsidR="00AD7A6C" w:rsidRPr="00AD7A6C" w14:paraId="5472434C"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4E1C5026" w14:textId="45995585"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12</w:t>
            </w:r>
          </w:p>
        </w:tc>
        <w:tc>
          <w:tcPr>
            <w:tcW w:w="3969" w:type="dxa"/>
          </w:tcPr>
          <w:p w14:paraId="2F3B9B0C" w14:textId="652E361B"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Federal Ministry of Environment (FMoE)</w:t>
            </w:r>
          </w:p>
        </w:tc>
        <w:tc>
          <w:tcPr>
            <w:tcW w:w="4337" w:type="dxa"/>
          </w:tcPr>
          <w:p w14:paraId="1CB7DBA6" w14:textId="31B312B6" w:rsidR="006676A3" w:rsidRPr="00AD7A6C" w:rsidRDefault="00A367B2"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sz w:val="24"/>
                <w:szCs w:val="24"/>
              </w:rPr>
            </w:pPr>
            <w:hyperlink r:id="rId16" w:history="1">
              <w:r w:rsidRPr="00AD7A6C">
                <w:rPr>
                  <w:rStyle w:val="Hyperlink"/>
                  <w:rFonts w:ascii="Footlight MT Light" w:hAnsi="Footlight MT Light"/>
                  <w:color w:val="auto"/>
                  <w:sz w:val="24"/>
                  <w:szCs w:val="24"/>
                </w:rPr>
                <w:t>http://environment.gov.ng/</w:t>
              </w:r>
            </w:hyperlink>
            <w:r w:rsidRPr="00AD7A6C">
              <w:rPr>
                <w:rFonts w:ascii="Footlight MT Light" w:hAnsi="Footlight MT Light"/>
                <w:sz w:val="24"/>
                <w:szCs w:val="24"/>
              </w:rPr>
              <w:t xml:space="preserve"> </w:t>
            </w:r>
          </w:p>
        </w:tc>
      </w:tr>
      <w:tr w:rsidR="00AD7A6C" w:rsidRPr="00AD7A6C" w14:paraId="0D83E72E"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7A7723" w14:textId="1A1D7AB2"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13</w:t>
            </w:r>
          </w:p>
        </w:tc>
        <w:tc>
          <w:tcPr>
            <w:tcW w:w="3969" w:type="dxa"/>
          </w:tcPr>
          <w:p w14:paraId="56396C5B" w14:textId="2B993805"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Nigerian Customs Service (NCS)</w:t>
            </w:r>
          </w:p>
        </w:tc>
        <w:tc>
          <w:tcPr>
            <w:tcW w:w="4337" w:type="dxa"/>
          </w:tcPr>
          <w:p w14:paraId="73FEB573" w14:textId="05764872" w:rsidR="006676A3" w:rsidRPr="00AD7A6C" w:rsidRDefault="00A367B2"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hyperlink r:id="rId17" w:history="1">
              <w:r w:rsidRPr="00AD7A6C">
                <w:rPr>
                  <w:rStyle w:val="Hyperlink"/>
                  <w:rFonts w:ascii="Footlight MT Light" w:hAnsi="Footlight MT Light"/>
                  <w:color w:val="auto"/>
                  <w:sz w:val="24"/>
                  <w:szCs w:val="24"/>
                </w:rPr>
                <w:t>http://customs.gov.ng/</w:t>
              </w:r>
            </w:hyperlink>
            <w:r w:rsidRPr="00AD7A6C">
              <w:rPr>
                <w:rFonts w:ascii="Footlight MT Light" w:hAnsi="Footlight MT Light"/>
                <w:sz w:val="24"/>
                <w:szCs w:val="24"/>
              </w:rPr>
              <w:t xml:space="preserve"> </w:t>
            </w:r>
          </w:p>
        </w:tc>
      </w:tr>
      <w:tr w:rsidR="00AD7A6C" w:rsidRPr="00AD7A6C" w14:paraId="5B6E8543"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6863B388" w14:textId="1AA602F3"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14</w:t>
            </w:r>
          </w:p>
        </w:tc>
        <w:tc>
          <w:tcPr>
            <w:tcW w:w="3969" w:type="dxa"/>
          </w:tcPr>
          <w:p w14:paraId="53EB6490" w14:textId="6DB44DF8"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Central Bank of Nigeria</w:t>
            </w:r>
          </w:p>
        </w:tc>
        <w:tc>
          <w:tcPr>
            <w:tcW w:w="4337" w:type="dxa"/>
          </w:tcPr>
          <w:p w14:paraId="087DC155" w14:textId="75306648" w:rsidR="006676A3" w:rsidRPr="00AD7A6C" w:rsidRDefault="00A367B2"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sz w:val="24"/>
                <w:szCs w:val="24"/>
              </w:rPr>
            </w:pPr>
            <w:hyperlink r:id="rId18" w:history="1">
              <w:r w:rsidRPr="00AD7A6C">
                <w:rPr>
                  <w:rStyle w:val="Hyperlink"/>
                  <w:rFonts w:ascii="Footlight MT Light" w:hAnsi="Footlight MT Light"/>
                  <w:color w:val="auto"/>
                  <w:sz w:val="24"/>
                  <w:szCs w:val="24"/>
                </w:rPr>
                <w:t>https://www.cbn.gov.ng/</w:t>
              </w:r>
            </w:hyperlink>
            <w:r w:rsidRPr="00AD7A6C">
              <w:rPr>
                <w:rFonts w:ascii="Footlight MT Light" w:hAnsi="Footlight MT Light"/>
                <w:sz w:val="24"/>
                <w:szCs w:val="24"/>
              </w:rPr>
              <w:t xml:space="preserve"> </w:t>
            </w:r>
          </w:p>
        </w:tc>
      </w:tr>
      <w:tr w:rsidR="00AD7A6C" w:rsidRPr="00AD7A6C" w14:paraId="466EBE46"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D76CCCE" w14:textId="44D262BA"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15</w:t>
            </w:r>
          </w:p>
        </w:tc>
        <w:tc>
          <w:tcPr>
            <w:tcW w:w="3969" w:type="dxa"/>
          </w:tcPr>
          <w:p w14:paraId="419BC278" w14:textId="0082B59E" w:rsidR="006676A3" w:rsidRPr="00AD7A6C" w:rsidRDefault="000B1A91"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Revenue Mobilization Allocation and Fiscal Commission (RMAFC)</w:t>
            </w:r>
          </w:p>
        </w:tc>
        <w:tc>
          <w:tcPr>
            <w:tcW w:w="4337" w:type="dxa"/>
          </w:tcPr>
          <w:p w14:paraId="0F8041F3" w14:textId="6CC113FA" w:rsidR="006676A3" w:rsidRPr="00AD7A6C" w:rsidRDefault="00A367B2"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hyperlink r:id="rId19" w:history="1">
              <w:r w:rsidRPr="00AD7A6C">
                <w:rPr>
                  <w:rStyle w:val="Hyperlink"/>
                  <w:rFonts w:ascii="Footlight MT Light" w:hAnsi="Footlight MT Light"/>
                  <w:color w:val="auto"/>
                  <w:sz w:val="24"/>
                  <w:szCs w:val="24"/>
                </w:rPr>
                <w:t>https://rmafc.gov.ng/</w:t>
              </w:r>
            </w:hyperlink>
            <w:r w:rsidRPr="00AD7A6C">
              <w:rPr>
                <w:rFonts w:ascii="Footlight MT Light" w:hAnsi="Footlight MT Light"/>
                <w:sz w:val="24"/>
                <w:szCs w:val="24"/>
              </w:rPr>
              <w:t xml:space="preserve"> </w:t>
            </w:r>
          </w:p>
        </w:tc>
      </w:tr>
      <w:tr w:rsidR="00AD7A6C" w:rsidRPr="00AD7A6C" w14:paraId="11234FF0"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714E17D1" w14:textId="7E652F1F" w:rsidR="0086481C"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16</w:t>
            </w:r>
          </w:p>
        </w:tc>
        <w:tc>
          <w:tcPr>
            <w:tcW w:w="3969" w:type="dxa"/>
          </w:tcPr>
          <w:p w14:paraId="5BF4AAE1" w14:textId="141B76A3" w:rsidR="0086481C" w:rsidRPr="00AD7A6C" w:rsidRDefault="0086481C"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Office of the Accountant-General of the Federation (OAGF)</w:t>
            </w:r>
          </w:p>
        </w:tc>
        <w:tc>
          <w:tcPr>
            <w:tcW w:w="4337" w:type="dxa"/>
          </w:tcPr>
          <w:p w14:paraId="544C609D" w14:textId="7AC744DB" w:rsidR="0086481C" w:rsidRPr="00AD7A6C" w:rsidRDefault="00A367B2"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sz w:val="24"/>
                <w:szCs w:val="24"/>
              </w:rPr>
            </w:pPr>
            <w:hyperlink r:id="rId20" w:history="1">
              <w:r w:rsidRPr="00AD7A6C">
                <w:rPr>
                  <w:rStyle w:val="Hyperlink"/>
                  <w:rFonts w:ascii="Footlight MT Light" w:hAnsi="Footlight MT Light"/>
                  <w:color w:val="auto"/>
                  <w:sz w:val="24"/>
                  <w:szCs w:val="24"/>
                </w:rPr>
                <w:t>https://oagf.gov.ng/</w:t>
              </w:r>
            </w:hyperlink>
            <w:r w:rsidRPr="00AD7A6C">
              <w:rPr>
                <w:rFonts w:ascii="Footlight MT Light" w:hAnsi="Footlight MT Light"/>
                <w:sz w:val="24"/>
                <w:szCs w:val="24"/>
              </w:rPr>
              <w:t xml:space="preserve"> </w:t>
            </w:r>
          </w:p>
        </w:tc>
      </w:tr>
      <w:tr w:rsidR="00AD7A6C" w:rsidRPr="00AD7A6C" w14:paraId="1BAFC2A5"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4D5E385" w14:textId="44281984" w:rsidR="00771169"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17</w:t>
            </w:r>
          </w:p>
        </w:tc>
        <w:tc>
          <w:tcPr>
            <w:tcW w:w="3969" w:type="dxa"/>
          </w:tcPr>
          <w:p w14:paraId="0C86242F" w14:textId="04685153" w:rsidR="00771169" w:rsidRPr="00AD7A6C" w:rsidRDefault="00771169"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NOSDRA</w:t>
            </w:r>
          </w:p>
        </w:tc>
        <w:tc>
          <w:tcPr>
            <w:tcW w:w="4337" w:type="dxa"/>
          </w:tcPr>
          <w:p w14:paraId="1126E1C3" w14:textId="6C553DC2" w:rsidR="00771169" w:rsidRPr="00AD7A6C" w:rsidRDefault="00A367B2"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hyperlink r:id="rId21" w:history="1">
              <w:r w:rsidRPr="00AD7A6C">
                <w:rPr>
                  <w:rStyle w:val="Hyperlink"/>
                  <w:rFonts w:ascii="Footlight MT Light" w:hAnsi="Footlight MT Light"/>
                  <w:color w:val="auto"/>
                  <w:sz w:val="24"/>
                  <w:szCs w:val="24"/>
                </w:rPr>
                <w:t>https://nosdra.gov.ng/</w:t>
              </w:r>
            </w:hyperlink>
            <w:r w:rsidRPr="00AD7A6C">
              <w:rPr>
                <w:rFonts w:ascii="Footlight MT Light" w:hAnsi="Footlight MT Light"/>
                <w:sz w:val="24"/>
                <w:szCs w:val="24"/>
              </w:rPr>
              <w:t xml:space="preserve"> </w:t>
            </w:r>
          </w:p>
        </w:tc>
      </w:tr>
      <w:tr w:rsidR="00AD7A6C" w:rsidRPr="00AD7A6C" w14:paraId="51814BF1"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48864C05" w14:textId="12D97B8D" w:rsidR="00771169"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18</w:t>
            </w:r>
          </w:p>
        </w:tc>
        <w:tc>
          <w:tcPr>
            <w:tcW w:w="3969" w:type="dxa"/>
          </w:tcPr>
          <w:p w14:paraId="631F2518" w14:textId="0C5812BF" w:rsidR="00771169" w:rsidRPr="00AD7A6C" w:rsidRDefault="00771169"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NESREA</w:t>
            </w:r>
          </w:p>
        </w:tc>
        <w:tc>
          <w:tcPr>
            <w:tcW w:w="4337" w:type="dxa"/>
          </w:tcPr>
          <w:p w14:paraId="3CDEFC49" w14:textId="435A6B6A" w:rsidR="00771169" w:rsidRPr="00AD7A6C" w:rsidRDefault="00A367B2"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sz w:val="24"/>
                <w:szCs w:val="24"/>
              </w:rPr>
            </w:pPr>
            <w:hyperlink r:id="rId22" w:history="1">
              <w:r w:rsidRPr="00AD7A6C">
                <w:rPr>
                  <w:rStyle w:val="Hyperlink"/>
                  <w:rFonts w:ascii="Footlight MT Light" w:hAnsi="Footlight MT Light"/>
                  <w:color w:val="auto"/>
                  <w:sz w:val="24"/>
                  <w:szCs w:val="24"/>
                </w:rPr>
                <w:t>http://nesrea.gov.ng/</w:t>
              </w:r>
            </w:hyperlink>
            <w:r w:rsidRPr="00AD7A6C">
              <w:rPr>
                <w:rFonts w:ascii="Footlight MT Light" w:hAnsi="Footlight MT Light"/>
                <w:sz w:val="24"/>
                <w:szCs w:val="24"/>
              </w:rPr>
              <w:t xml:space="preserve"> </w:t>
            </w:r>
          </w:p>
        </w:tc>
      </w:tr>
      <w:tr w:rsidR="00AD7A6C" w:rsidRPr="00AD7A6C" w14:paraId="341E5C3C" w14:textId="77777777" w:rsidTr="00916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D5DC066" w14:textId="1E07155D"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19</w:t>
            </w:r>
          </w:p>
        </w:tc>
        <w:tc>
          <w:tcPr>
            <w:tcW w:w="3969" w:type="dxa"/>
          </w:tcPr>
          <w:p w14:paraId="60AABD81" w14:textId="5828C899" w:rsidR="006676A3" w:rsidRPr="00AD7A6C" w:rsidRDefault="000B1A91"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36 States</w:t>
            </w:r>
          </w:p>
        </w:tc>
        <w:tc>
          <w:tcPr>
            <w:tcW w:w="4337" w:type="dxa"/>
          </w:tcPr>
          <w:p w14:paraId="1134DD66" w14:textId="77777777" w:rsidR="006676A3" w:rsidRPr="00AD7A6C" w:rsidRDefault="006676A3" w:rsidP="006E69D2">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Footlight MT Light" w:hAnsi="Footlight MT Light"/>
                <w:sz w:val="24"/>
                <w:szCs w:val="24"/>
              </w:rPr>
            </w:pPr>
          </w:p>
        </w:tc>
      </w:tr>
      <w:tr w:rsidR="00AD7A6C" w:rsidRPr="00AD7A6C" w14:paraId="07F04F95" w14:textId="77777777" w:rsidTr="00916096">
        <w:tc>
          <w:tcPr>
            <w:cnfStyle w:val="001000000000" w:firstRow="0" w:lastRow="0" w:firstColumn="1" w:lastColumn="0" w:oddVBand="0" w:evenVBand="0" w:oddHBand="0" w:evenHBand="0" w:firstRowFirstColumn="0" w:firstRowLastColumn="0" w:lastRowFirstColumn="0" w:lastRowLastColumn="0"/>
            <w:tcW w:w="704" w:type="dxa"/>
          </w:tcPr>
          <w:p w14:paraId="2DE73247" w14:textId="4D8D103B" w:rsidR="006676A3" w:rsidRPr="00AD7A6C" w:rsidRDefault="00771169" w:rsidP="006E69D2">
            <w:pPr>
              <w:spacing w:before="100" w:beforeAutospacing="1" w:after="100" w:afterAutospacing="1"/>
              <w:jc w:val="both"/>
              <w:rPr>
                <w:rFonts w:ascii="Footlight MT Light" w:hAnsi="Footlight MT Light" w:cstheme="minorHAnsi"/>
                <w:sz w:val="24"/>
                <w:szCs w:val="24"/>
              </w:rPr>
            </w:pPr>
            <w:r w:rsidRPr="00AD7A6C">
              <w:rPr>
                <w:rFonts w:ascii="Footlight MT Light" w:hAnsi="Footlight MT Light" w:cstheme="minorHAnsi"/>
                <w:sz w:val="24"/>
                <w:szCs w:val="24"/>
              </w:rPr>
              <w:t>20</w:t>
            </w:r>
          </w:p>
        </w:tc>
        <w:tc>
          <w:tcPr>
            <w:tcW w:w="3969" w:type="dxa"/>
          </w:tcPr>
          <w:p w14:paraId="19809C52" w14:textId="18F6E081" w:rsidR="006676A3" w:rsidRPr="00AD7A6C" w:rsidRDefault="000B1A91"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cstheme="minorHAnsi"/>
                <w:sz w:val="24"/>
                <w:szCs w:val="24"/>
              </w:rPr>
            </w:pPr>
            <w:r w:rsidRPr="00AD7A6C">
              <w:rPr>
                <w:rFonts w:ascii="Footlight MT Light" w:hAnsi="Footlight MT Light" w:cstheme="minorHAnsi"/>
                <w:sz w:val="24"/>
                <w:szCs w:val="24"/>
              </w:rPr>
              <w:t>774 Local Government Areas</w:t>
            </w:r>
          </w:p>
        </w:tc>
        <w:tc>
          <w:tcPr>
            <w:tcW w:w="4337" w:type="dxa"/>
          </w:tcPr>
          <w:p w14:paraId="75F9B70C" w14:textId="77777777" w:rsidR="006676A3" w:rsidRPr="00AD7A6C" w:rsidRDefault="006676A3" w:rsidP="006E69D2">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Footlight MT Light" w:hAnsi="Footlight MT Light"/>
                <w:sz w:val="24"/>
                <w:szCs w:val="24"/>
              </w:rPr>
            </w:pPr>
          </w:p>
        </w:tc>
      </w:tr>
    </w:tbl>
    <w:p w14:paraId="1B27B9D3" w14:textId="77777777" w:rsidR="00860BAF" w:rsidRPr="00AD7A6C" w:rsidRDefault="00860BAF" w:rsidP="006E69D2">
      <w:pPr>
        <w:tabs>
          <w:tab w:val="left" w:pos="720"/>
          <w:tab w:val="left" w:pos="1440"/>
        </w:tabs>
        <w:jc w:val="both"/>
        <w:rPr>
          <w:rFonts w:ascii="Footlight MT Light" w:hAnsi="Footlight MT Light"/>
          <w:b/>
          <w:bCs/>
          <w:sz w:val="24"/>
          <w:szCs w:val="24"/>
        </w:rPr>
      </w:pPr>
    </w:p>
    <w:p w14:paraId="5D380704" w14:textId="446E3694" w:rsidR="008559BC" w:rsidRPr="00AD7A6C" w:rsidRDefault="008559BC" w:rsidP="006E69D2">
      <w:pPr>
        <w:pStyle w:val="ListParagraph"/>
        <w:numPr>
          <w:ilvl w:val="0"/>
          <w:numId w:val="7"/>
        </w:numPr>
        <w:tabs>
          <w:tab w:val="left" w:pos="720"/>
          <w:tab w:val="left" w:pos="1440"/>
        </w:tabs>
        <w:spacing w:after="0" w:line="240" w:lineRule="auto"/>
        <w:jc w:val="both"/>
        <w:rPr>
          <w:rFonts w:ascii="Footlight MT Light" w:hAnsi="Footlight MT Light"/>
          <w:b/>
          <w:bCs/>
          <w:i/>
          <w:iCs/>
          <w:sz w:val="24"/>
          <w:szCs w:val="24"/>
        </w:rPr>
      </w:pPr>
      <w:r w:rsidRPr="00AD7A6C">
        <w:rPr>
          <w:rFonts w:ascii="Footlight MT Light" w:hAnsi="Footlight MT Light"/>
          <w:b/>
          <w:bCs/>
          <w:i/>
          <w:iCs/>
          <w:sz w:val="24"/>
          <w:szCs w:val="24"/>
        </w:rPr>
        <w:t>Exploration and Production</w:t>
      </w:r>
    </w:p>
    <w:p w14:paraId="7300A1A5" w14:textId="77777777" w:rsidR="00991D7B" w:rsidRPr="00AD7A6C" w:rsidRDefault="00991D7B" w:rsidP="006E69D2">
      <w:pPr>
        <w:tabs>
          <w:tab w:val="left" w:pos="720"/>
          <w:tab w:val="left" w:pos="1440"/>
        </w:tabs>
        <w:spacing w:after="0" w:line="240" w:lineRule="auto"/>
        <w:jc w:val="both"/>
        <w:rPr>
          <w:rFonts w:ascii="Footlight MT Light" w:hAnsi="Footlight MT Light"/>
          <w:sz w:val="24"/>
          <w:szCs w:val="24"/>
        </w:rPr>
      </w:pPr>
    </w:p>
    <w:p w14:paraId="6B9B245B" w14:textId="3975B07E"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Exploration involves identifying potential sites for extracting oil, gas, and minerals, with oil and gas production primarily occurring in Nigeria's upstream petroleum sector. In contrast, solid mineral exploration and production vary in scale, from industrial to artisanal operations.</w:t>
      </w:r>
    </w:p>
    <w:p w14:paraId="709C30C2" w14:textId="77777777" w:rsidR="00991D7B" w:rsidRPr="00AD7A6C" w:rsidRDefault="00991D7B" w:rsidP="006E69D2">
      <w:pPr>
        <w:tabs>
          <w:tab w:val="left" w:pos="720"/>
          <w:tab w:val="left" w:pos="1440"/>
        </w:tabs>
        <w:spacing w:after="0" w:line="240" w:lineRule="auto"/>
        <w:jc w:val="both"/>
        <w:rPr>
          <w:rFonts w:ascii="Footlight MT Light" w:hAnsi="Footlight MT Light"/>
          <w:b/>
          <w:bCs/>
          <w:sz w:val="24"/>
          <w:szCs w:val="24"/>
        </w:rPr>
      </w:pPr>
    </w:p>
    <w:p w14:paraId="39CEA55B" w14:textId="79AC2D43" w:rsidR="00860BAF" w:rsidRPr="00AD7A6C" w:rsidRDefault="0016612A" w:rsidP="006E69D2">
      <w:pPr>
        <w:tabs>
          <w:tab w:val="left" w:pos="720"/>
          <w:tab w:val="left" w:pos="1440"/>
        </w:tabs>
        <w:spacing w:after="0" w:line="240" w:lineRule="auto"/>
        <w:jc w:val="both"/>
        <w:rPr>
          <w:rFonts w:ascii="Footlight MT Light" w:hAnsi="Footlight MT Light"/>
          <w:b/>
          <w:bCs/>
          <w:sz w:val="24"/>
          <w:szCs w:val="24"/>
        </w:rPr>
      </w:pPr>
      <w:r w:rsidRPr="00AD7A6C">
        <w:rPr>
          <w:rFonts w:ascii="Footlight MT Light" w:hAnsi="Footlight MT Light"/>
          <w:b/>
          <w:bCs/>
          <w:sz w:val="24"/>
          <w:szCs w:val="24"/>
        </w:rPr>
        <w:t xml:space="preserve">3.1 </w:t>
      </w:r>
      <w:r w:rsidR="00860BAF" w:rsidRPr="00AD7A6C">
        <w:rPr>
          <w:rFonts w:ascii="Footlight MT Light" w:hAnsi="Footlight MT Light"/>
          <w:b/>
          <w:bCs/>
          <w:sz w:val="24"/>
          <w:szCs w:val="24"/>
        </w:rPr>
        <w:t>Exploration:</w:t>
      </w:r>
    </w:p>
    <w:p w14:paraId="47AA55EC"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The Nigerian National Petroleum Company Limited (NNPCL) leads oil and gas exploration in frontier basins.</w:t>
      </w:r>
    </w:p>
    <w:p w14:paraId="6CAF0B9C"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The Ministry of Mines and Steel Development (MMSD) oversees solid mineral exploration through agencies like the Mining Cadastre Office (MCO) and Nigeria Geological Survey Agency (NGSA).</w:t>
      </w:r>
    </w:p>
    <w:p w14:paraId="1225AEF1" w14:textId="77777777" w:rsidR="002A2999" w:rsidRPr="00AD7A6C" w:rsidRDefault="002A2999" w:rsidP="006E69D2">
      <w:pPr>
        <w:tabs>
          <w:tab w:val="left" w:pos="720"/>
          <w:tab w:val="left" w:pos="1440"/>
        </w:tabs>
        <w:spacing w:after="0" w:line="240" w:lineRule="auto"/>
        <w:jc w:val="both"/>
        <w:rPr>
          <w:rFonts w:ascii="Footlight MT Light" w:hAnsi="Footlight MT Light"/>
          <w:sz w:val="24"/>
          <w:szCs w:val="24"/>
        </w:rPr>
      </w:pPr>
    </w:p>
    <w:p w14:paraId="1F56D825" w14:textId="77777777" w:rsidR="002A2999" w:rsidRPr="00AD7A6C" w:rsidRDefault="002A2999" w:rsidP="006E69D2">
      <w:pPr>
        <w:tabs>
          <w:tab w:val="left" w:pos="720"/>
          <w:tab w:val="left" w:pos="1440"/>
        </w:tabs>
        <w:spacing w:after="0" w:line="240" w:lineRule="auto"/>
        <w:jc w:val="both"/>
        <w:rPr>
          <w:rFonts w:ascii="Footlight MT Light" w:hAnsi="Footlight MT Light"/>
          <w:sz w:val="24"/>
          <w:szCs w:val="24"/>
        </w:rPr>
      </w:pPr>
    </w:p>
    <w:p w14:paraId="789A990C"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p>
    <w:p w14:paraId="125D4773" w14:textId="6E9FE818" w:rsidR="00860BAF" w:rsidRPr="00AD7A6C" w:rsidRDefault="0016612A" w:rsidP="006E69D2">
      <w:pPr>
        <w:tabs>
          <w:tab w:val="left" w:pos="720"/>
          <w:tab w:val="left" w:pos="1440"/>
        </w:tabs>
        <w:spacing w:after="0" w:line="240" w:lineRule="auto"/>
        <w:jc w:val="both"/>
        <w:rPr>
          <w:rFonts w:ascii="Footlight MT Light" w:hAnsi="Footlight MT Light"/>
          <w:b/>
          <w:bCs/>
          <w:sz w:val="24"/>
          <w:szCs w:val="24"/>
        </w:rPr>
      </w:pPr>
      <w:r w:rsidRPr="00AD7A6C">
        <w:rPr>
          <w:rFonts w:ascii="Footlight MT Light" w:hAnsi="Footlight MT Light"/>
          <w:b/>
          <w:bCs/>
          <w:sz w:val="24"/>
          <w:szCs w:val="24"/>
        </w:rPr>
        <w:t xml:space="preserve">3.2 </w:t>
      </w:r>
      <w:r w:rsidR="00860BAF" w:rsidRPr="00AD7A6C">
        <w:rPr>
          <w:rFonts w:ascii="Footlight MT Light" w:hAnsi="Footlight MT Light"/>
          <w:b/>
          <w:bCs/>
          <w:sz w:val="24"/>
          <w:szCs w:val="24"/>
        </w:rPr>
        <w:t>Production:</w:t>
      </w:r>
    </w:p>
    <w:p w14:paraId="1F8AD049"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Oil and gas production is concentrated in three basins: Anambra (onshore), Benin (offshore), and Niger Delta (onshore &amp; offshore).</w:t>
      </w:r>
    </w:p>
    <w:p w14:paraId="2B653B44" w14:textId="71C801EE"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Solid minerals like Granite, Limestone, Laterite, Clay, and Sand are abundant</w:t>
      </w:r>
      <w:r w:rsidR="00991D7B" w:rsidRPr="00AD7A6C">
        <w:rPr>
          <w:rFonts w:ascii="Footlight MT Light" w:hAnsi="Footlight MT Light"/>
          <w:sz w:val="24"/>
          <w:szCs w:val="24"/>
        </w:rPr>
        <w:t>ly produced</w:t>
      </w:r>
      <w:r w:rsidRPr="00AD7A6C">
        <w:rPr>
          <w:rFonts w:ascii="Footlight MT Light" w:hAnsi="Footlight MT Light"/>
          <w:sz w:val="24"/>
          <w:szCs w:val="24"/>
        </w:rPr>
        <w:t xml:space="preserve"> across Nigeria.</w:t>
      </w:r>
    </w:p>
    <w:p w14:paraId="659F62C3" w14:textId="1EC10C41"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Production data for oil</w:t>
      </w:r>
      <w:r w:rsidR="008000A8" w:rsidRPr="00AD7A6C">
        <w:rPr>
          <w:rFonts w:ascii="Footlight MT Light" w:hAnsi="Footlight MT Light"/>
          <w:sz w:val="24"/>
          <w:szCs w:val="24"/>
        </w:rPr>
        <w:t xml:space="preserve">, </w:t>
      </w:r>
      <w:r w:rsidRPr="00AD7A6C">
        <w:rPr>
          <w:rFonts w:ascii="Footlight MT Light" w:hAnsi="Footlight MT Light"/>
          <w:sz w:val="24"/>
          <w:szCs w:val="24"/>
        </w:rPr>
        <w:t>gas</w:t>
      </w:r>
      <w:r w:rsidR="008000A8" w:rsidRPr="00AD7A6C">
        <w:rPr>
          <w:rFonts w:ascii="Footlight MT Light" w:hAnsi="Footlight MT Light"/>
          <w:sz w:val="24"/>
          <w:szCs w:val="24"/>
        </w:rPr>
        <w:t xml:space="preserve"> and solid minerals is</w:t>
      </w:r>
      <w:r w:rsidRPr="00AD7A6C">
        <w:rPr>
          <w:rFonts w:ascii="Footlight MT Light" w:hAnsi="Footlight MT Light"/>
          <w:sz w:val="24"/>
          <w:szCs w:val="24"/>
        </w:rPr>
        <w:t xml:space="preserve"> accessible through reports and disclosures from NNPCL, NUPRC</w:t>
      </w:r>
      <w:r w:rsidR="008000A8" w:rsidRPr="00AD7A6C">
        <w:rPr>
          <w:rFonts w:ascii="Footlight MT Light" w:hAnsi="Footlight MT Light"/>
          <w:sz w:val="24"/>
          <w:szCs w:val="24"/>
        </w:rPr>
        <w:t>, MMSD and NEITI</w:t>
      </w:r>
      <w:r w:rsidRPr="00AD7A6C">
        <w:rPr>
          <w:rFonts w:ascii="Footlight MT Light" w:hAnsi="Footlight MT Light"/>
          <w:sz w:val="24"/>
          <w:szCs w:val="24"/>
        </w:rPr>
        <w:t>.</w:t>
      </w:r>
    </w:p>
    <w:p w14:paraId="489E7733" w14:textId="77777777" w:rsidR="00860BAF" w:rsidRPr="00AD7A6C" w:rsidRDefault="00860BAF" w:rsidP="006E69D2">
      <w:pPr>
        <w:tabs>
          <w:tab w:val="left" w:pos="720"/>
          <w:tab w:val="left" w:pos="1440"/>
        </w:tabs>
        <w:spacing w:after="0" w:line="240" w:lineRule="auto"/>
        <w:jc w:val="both"/>
        <w:rPr>
          <w:rFonts w:ascii="Footlight MT Light" w:hAnsi="Footlight MT Light"/>
          <w:b/>
          <w:bCs/>
          <w:sz w:val="24"/>
          <w:szCs w:val="24"/>
        </w:rPr>
      </w:pPr>
    </w:p>
    <w:p w14:paraId="2E9CC27C" w14:textId="452D9AF5" w:rsidR="00860BAF" w:rsidRPr="00AD7A6C" w:rsidRDefault="0016612A" w:rsidP="006E69D2">
      <w:pPr>
        <w:tabs>
          <w:tab w:val="left" w:pos="720"/>
          <w:tab w:val="left" w:pos="1440"/>
        </w:tabs>
        <w:spacing w:after="0" w:line="240" w:lineRule="auto"/>
        <w:jc w:val="both"/>
        <w:rPr>
          <w:rFonts w:ascii="Footlight MT Light" w:hAnsi="Footlight MT Light"/>
          <w:b/>
          <w:bCs/>
          <w:sz w:val="24"/>
          <w:szCs w:val="24"/>
        </w:rPr>
      </w:pPr>
      <w:r w:rsidRPr="00AD7A6C">
        <w:rPr>
          <w:rFonts w:ascii="Footlight MT Light" w:hAnsi="Footlight MT Light"/>
          <w:b/>
          <w:bCs/>
          <w:sz w:val="24"/>
          <w:szCs w:val="24"/>
        </w:rPr>
        <w:t xml:space="preserve">3.3 </w:t>
      </w:r>
      <w:r w:rsidR="00860BAF" w:rsidRPr="00AD7A6C">
        <w:rPr>
          <w:rFonts w:ascii="Footlight MT Light" w:hAnsi="Footlight MT Light"/>
          <w:b/>
          <w:bCs/>
          <w:sz w:val="24"/>
          <w:szCs w:val="24"/>
        </w:rPr>
        <w:t>Revenue Sharing:</w:t>
      </w:r>
    </w:p>
    <w:p w14:paraId="4EDDDB40"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The Nigerian government receives a share of crude oil produced under various petroleum sector agreements.</w:t>
      </w:r>
    </w:p>
    <w:p w14:paraId="3030F5AD"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In the solid mineral sector, the government benefits from taxes, levies, and fines, as it does not hold direct stakes.</w:t>
      </w:r>
    </w:p>
    <w:p w14:paraId="614DB600" w14:textId="77777777" w:rsidR="00860BAF" w:rsidRPr="00AD7A6C" w:rsidRDefault="00860BAF" w:rsidP="006E69D2">
      <w:pPr>
        <w:tabs>
          <w:tab w:val="left" w:pos="720"/>
          <w:tab w:val="left" w:pos="1440"/>
        </w:tabs>
        <w:spacing w:after="0" w:line="240" w:lineRule="auto"/>
        <w:jc w:val="both"/>
        <w:rPr>
          <w:rFonts w:ascii="Footlight MT Light" w:hAnsi="Footlight MT Light"/>
          <w:sz w:val="24"/>
          <w:szCs w:val="24"/>
        </w:rPr>
      </w:pPr>
      <w:r w:rsidRPr="00AD7A6C">
        <w:rPr>
          <w:rFonts w:ascii="Footlight MT Light" w:hAnsi="Footlight MT Light"/>
          <w:sz w:val="24"/>
          <w:szCs w:val="24"/>
        </w:rPr>
        <w:t>The NNPCL manages the lifting and exportation of all government-owned crude oil and gas.</w:t>
      </w:r>
    </w:p>
    <w:p w14:paraId="6FFBB75A" w14:textId="77777777" w:rsidR="00991D7B" w:rsidRPr="00AD7A6C" w:rsidRDefault="00991D7B" w:rsidP="006E69D2">
      <w:pPr>
        <w:tabs>
          <w:tab w:val="left" w:pos="1440"/>
        </w:tabs>
        <w:jc w:val="both"/>
        <w:rPr>
          <w:rFonts w:ascii="Footlight MT Light" w:hAnsi="Footlight MT Light"/>
          <w:sz w:val="24"/>
          <w:szCs w:val="24"/>
        </w:rPr>
      </w:pPr>
    </w:p>
    <w:p w14:paraId="67AD5EC6" w14:textId="240D4D28" w:rsidR="00C602EB" w:rsidRPr="00AD7A6C" w:rsidRDefault="0016612A" w:rsidP="006E69D2">
      <w:pPr>
        <w:tabs>
          <w:tab w:val="left" w:pos="720"/>
          <w:tab w:val="left" w:pos="1440"/>
        </w:tabs>
        <w:spacing w:after="0" w:line="240" w:lineRule="auto"/>
        <w:jc w:val="both"/>
        <w:rPr>
          <w:rFonts w:ascii="Footlight MT Light" w:hAnsi="Footlight MT Light"/>
          <w:b/>
          <w:bCs/>
          <w:sz w:val="24"/>
          <w:szCs w:val="24"/>
        </w:rPr>
      </w:pPr>
      <w:r w:rsidRPr="00AD7A6C">
        <w:rPr>
          <w:rFonts w:ascii="Footlight MT Light" w:hAnsi="Footlight MT Light"/>
          <w:b/>
          <w:bCs/>
          <w:sz w:val="24"/>
          <w:szCs w:val="24"/>
        </w:rPr>
        <w:t xml:space="preserve">3.4 </w:t>
      </w:r>
      <w:r w:rsidR="00C602EB" w:rsidRPr="00AD7A6C">
        <w:rPr>
          <w:rFonts w:ascii="Footlight MT Light" w:hAnsi="Footlight MT Light"/>
          <w:b/>
          <w:bCs/>
          <w:sz w:val="24"/>
          <w:szCs w:val="24"/>
        </w:rPr>
        <w:t>Operating Companies</w:t>
      </w:r>
      <w:r w:rsidR="00A770D5" w:rsidRPr="00AD7A6C">
        <w:rPr>
          <w:rFonts w:ascii="Footlight MT Light" w:hAnsi="Footlight MT Light"/>
          <w:b/>
          <w:bCs/>
          <w:sz w:val="24"/>
          <w:szCs w:val="24"/>
        </w:rPr>
        <w:t xml:space="preserve"> and Relevant Government Agencies</w:t>
      </w:r>
      <w:r w:rsidR="00C602EB" w:rsidRPr="00AD7A6C">
        <w:rPr>
          <w:rFonts w:ascii="Footlight MT Light" w:hAnsi="Footlight MT Light"/>
          <w:b/>
          <w:bCs/>
          <w:sz w:val="24"/>
          <w:szCs w:val="24"/>
        </w:rPr>
        <w:t>:</w:t>
      </w:r>
    </w:p>
    <w:p w14:paraId="52703C82" w14:textId="1BF40F86" w:rsidR="00F84ADE" w:rsidRPr="00AD7A6C" w:rsidRDefault="00F84ADE" w:rsidP="006E69D2">
      <w:pPr>
        <w:jc w:val="both"/>
        <w:rPr>
          <w:rFonts w:ascii="Footlight MT Light" w:hAnsi="Footlight MT Light"/>
          <w:sz w:val="24"/>
          <w:szCs w:val="24"/>
        </w:rPr>
      </w:pPr>
      <w:r w:rsidRPr="00AD7A6C">
        <w:rPr>
          <w:rFonts w:ascii="Footlight MT Light" w:hAnsi="Footlight MT Light"/>
          <w:sz w:val="24"/>
          <w:szCs w:val="24"/>
        </w:rPr>
        <w:t xml:space="preserve">During the period scoped, the upstream segment of the petroleum sector saw the active participation of 77 oil and gas companies, operating under various arrangements such as joint ventures, production sharing contracts, sole risk, and service contracts. Meanwhile, in the solid mineral sector, around </w:t>
      </w:r>
      <w:r w:rsidR="00BF71E8">
        <w:rPr>
          <w:rFonts w:ascii="Footlight MT Light" w:hAnsi="Footlight MT Light"/>
          <w:sz w:val="24"/>
          <w:szCs w:val="24"/>
        </w:rPr>
        <w:t>200</w:t>
      </w:r>
      <w:r w:rsidRPr="00AD7A6C">
        <w:rPr>
          <w:rFonts w:ascii="Footlight MT Light" w:hAnsi="Footlight MT Light"/>
          <w:sz w:val="24"/>
          <w:szCs w:val="24"/>
        </w:rPr>
        <w:t>0 companies, holding different types of licenses and leases including small-scale mining leases, quarry leases, and exploration licenses, were engaged in various activities.</w:t>
      </w:r>
    </w:p>
    <w:p w14:paraId="4F8EDA44" w14:textId="36CE2D0E" w:rsidR="00F84ADE" w:rsidRPr="00AD7A6C" w:rsidRDefault="00F84ADE" w:rsidP="006E69D2">
      <w:pPr>
        <w:jc w:val="both"/>
        <w:rPr>
          <w:rFonts w:ascii="Footlight MT Light" w:hAnsi="Footlight MT Light"/>
          <w:sz w:val="24"/>
          <w:szCs w:val="24"/>
        </w:rPr>
      </w:pPr>
      <w:r w:rsidRPr="00AD7A6C">
        <w:rPr>
          <w:rFonts w:ascii="Footlight MT Light" w:hAnsi="Footlight MT Light"/>
          <w:sz w:val="24"/>
          <w:szCs w:val="24"/>
        </w:rPr>
        <w:t>The following Ministries, Departments, and Agencies of Government were actively involved during the review period:</w:t>
      </w:r>
    </w:p>
    <w:p w14:paraId="21437D57" w14:textId="24AFB86B"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Nigerian Upstream Petroleum Regulatory Commission (NUPRC)</w:t>
      </w:r>
    </w:p>
    <w:p w14:paraId="40582C0C" w14:textId="108A6AC2"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Nigeria Mid-Downstream Regulatory Authority</w:t>
      </w:r>
    </w:p>
    <w:p w14:paraId="2C22139A" w14:textId="472EB836"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Nigeria National Petroleum Company Limited</w:t>
      </w:r>
    </w:p>
    <w:p w14:paraId="394DE4EC" w14:textId="13BADD57"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Niger Delta Development Commission</w:t>
      </w:r>
    </w:p>
    <w:p w14:paraId="15260DB9" w14:textId="677F5657"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Nigeria Content Development Monitoring Board</w:t>
      </w:r>
    </w:p>
    <w:p w14:paraId="0B4D1478" w14:textId="063E9EF6"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Federal Inland Revenue Service (FIRS)</w:t>
      </w:r>
    </w:p>
    <w:p w14:paraId="5B085205" w14:textId="00A80F48"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Ministry of Mines and Steel Development (MMSD) – Mines Inspectorate Department (MID)</w:t>
      </w:r>
    </w:p>
    <w:p w14:paraId="3662129D" w14:textId="09EB7E38"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Mining Cadastre Office (MCO)</w:t>
      </w:r>
    </w:p>
    <w:p w14:paraId="3B28B317" w14:textId="3E84A6AA"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Central Bank of Nigeria</w:t>
      </w:r>
    </w:p>
    <w:p w14:paraId="1D54EE6A" w14:textId="43BC30E2"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Federal Ministry of Finance, Budget &amp; National Planning</w:t>
      </w:r>
    </w:p>
    <w:p w14:paraId="559C9BB8" w14:textId="578D8AA5"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Tertiary Education Trust Fund</w:t>
      </w:r>
    </w:p>
    <w:p w14:paraId="3E926C3C" w14:textId="30AE0571"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National Oil Spill Detection Regulatory Agency</w:t>
      </w:r>
    </w:p>
    <w:p w14:paraId="4BE729D0" w14:textId="486B7833"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National Environmental Standards and Regulations Enforcement Agency</w:t>
      </w:r>
    </w:p>
    <w:p w14:paraId="35BBC288" w14:textId="0FC7453F"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Revenue Mobilization Allocation and Fiscal Commission</w:t>
      </w:r>
    </w:p>
    <w:p w14:paraId="3942B2AE" w14:textId="5588DFBB" w:rsidR="008B1EF5" w:rsidRPr="00AD7A6C" w:rsidRDefault="008B1EF5"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Solid Minerals Development Fund</w:t>
      </w:r>
    </w:p>
    <w:p w14:paraId="2006B9CD" w14:textId="6F2B1438" w:rsidR="008B1EF5" w:rsidRPr="00AD7A6C" w:rsidRDefault="00F84ADE"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Nigeria Liquefied Natural Gas Limited</w:t>
      </w:r>
    </w:p>
    <w:p w14:paraId="1CF4C70C" w14:textId="3A369C0C" w:rsidR="00F84ADE" w:rsidRPr="00AD7A6C" w:rsidRDefault="00F84ADE" w:rsidP="006E69D2">
      <w:pPr>
        <w:pStyle w:val="ListParagraph"/>
        <w:numPr>
          <w:ilvl w:val="0"/>
          <w:numId w:val="12"/>
        </w:numPr>
        <w:jc w:val="both"/>
        <w:rPr>
          <w:rFonts w:ascii="Footlight MT Light" w:hAnsi="Footlight MT Light"/>
          <w:sz w:val="24"/>
          <w:szCs w:val="24"/>
        </w:rPr>
      </w:pPr>
      <w:r w:rsidRPr="00AD7A6C">
        <w:rPr>
          <w:rFonts w:ascii="Footlight MT Light" w:hAnsi="Footlight MT Light"/>
          <w:sz w:val="24"/>
          <w:szCs w:val="24"/>
        </w:rPr>
        <w:t>Office of the Accountant General of the Federation</w:t>
      </w:r>
    </w:p>
    <w:p w14:paraId="66D71D9B" w14:textId="77777777" w:rsidR="00C602EB" w:rsidRPr="00AD7A6C" w:rsidRDefault="00C602EB" w:rsidP="006E69D2">
      <w:pPr>
        <w:pStyle w:val="ListParagraph"/>
        <w:jc w:val="both"/>
        <w:rPr>
          <w:rFonts w:ascii="Footlight MT Light" w:hAnsi="Footlight MT Light"/>
          <w:sz w:val="24"/>
          <w:szCs w:val="24"/>
        </w:rPr>
      </w:pPr>
    </w:p>
    <w:p w14:paraId="65900A40" w14:textId="2383F362" w:rsidR="008559BC" w:rsidRPr="00AD7A6C" w:rsidRDefault="008559BC" w:rsidP="006E69D2">
      <w:pPr>
        <w:pStyle w:val="ListParagraph"/>
        <w:numPr>
          <w:ilvl w:val="0"/>
          <w:numId w:val="7"/>
        </w:numPr>
        <w:tabs>
          <w:tab w:val="left" w:pos="720"/>
          <w:tab w:val="left" w:pos="1440"/>
        </w:tabs>
        <w:jc w:val="both"/>
        <w:rPr>
          <w:rFonts w:ascii="Footlight MT Light" w:hAnsi="Footlight MT Light"/>
          <w:b/>
          <w:bCs/>
          <w:sz w:val="24"/>
          <w:szCs w:val="24"/>
        </w:rPr>
      </w:pPr>
      <w:r w:rsidRPr="00AD7A6C">
        <w:rPr>
          <w:rFonts w:ascii="Footlight MT Light" w:hAnsi="Footlight MT Light"/>
          <w:b/>
          <w:bCs/>
          <w:sz w:val="24"/>
          <w:szCs w:val="24"/>
        </w:rPr>
        <w:t xml:space="preserve">Revenue </w:t>
      </w:r>
      <w:r w:rsidR="00843F16" w:rsidRPr="00AD7A6C">
        <w:rPr>
          <w:rFonts w:ascii="Footlight MT Light" w:hAnsi="Footlight MT Light"/>
          <w:b/>
          <w:bCs/>
          <w:sz w:val="24"/>
          <w:szCs w:val="24"/>
        </w:rPr>
        <w:t>Streams</w:t>
      </w:r>
      <w:r w:rsidRPr="00AD7A6C">
        <w:rPr>
          <w:rFonts w:ascii="Footlight MT Light" w:hAnsi="Footlight MT Light"/>
          <w:b/>
          <w:bCs/>
          <w:sz w:val="24"/>
          <w:szCs w:val="24"/>
        </w:rPr>
        <w:t xml:space="preserve"> and </w:t>
      </w:r>
      <w:r w:rsidR="00C75A2D" w:rsidRPr="00AD7A6C">
        <w:rPr>
          <w:rFonts w:ascii="Footlight MT Light" w:hAnsi="Footlight MT Light"/>
          <w:b/>
          <w:bCs/>
          <w:sz w:val="24"/>
          <w:szCs w:val="24"/>
        </w:rPr>
        <w:t>Collecting Agencies</w:t>
      </w:r>
    </w:p>
    <w:p w14:paraId="03F4F7CA" w14:textId="5C471D99" w:rsidR="00843F16" w:rsidRPr="00AD7A6C" w:rsidRDefault="0016612A" w:rsidP="006E69D2">
      <w:pPr>
        <w:tabs>
          <w:tab w:val="left" w:pos="1440"/>
        </w:tabs>
        <w:spacing w:after="0"/>
        <w:jc w:val="both"/>
        <w:rPr>
          <w:rFonts w:ascii="Footlight MT Light" w:hAnsi="Footlight MT Light"/>
          <w:b/>
          <w:bCs/>
          <w:sz w:val="24"/>
          <w:szCs w:val="24"/>
        </w:rPr>
      </w:pPr>
      <w:r w:rsidRPr="00AD7A6C">
        <w:rPr>
          <w:rFonts w:ascii="Footlight MT Light" w:hAnsi="Footlight MT Light"/>
          <w:b/>
          <w:bCs/>
          <w:sz w:val="24"/>
          <w:szCs w:val="24"/>
        </w:rPr>
        <w:t>4.1</w:t>
      </w:r>
      <w:r w:rsidR="00C75A2D" w:rsidRPr="00AD7A6C">
        <w:rPr>
          <w:rFonts w:ascii="Footlight MT Light" w:hAnsi="Footlight MT Light"/>
          <w:b/>
          <w:bCs/>
          <w:sz w:val="24"/>
          <w:szCs w:val="24"/>
        </w:rPr>
        <w:t xml:space="preserve">     </w:t>
      </w:r>
      <w:r w:rsidR="00843F16" w:rsidRPr="00AD7A6C">
        <w:rPr>
          <w:rFonts w:ascii="Footlight MT Light" w:hAnsi="Footlight MT Light"/>
          <w:b/>
          <w:bCs/>
          <w:sz w:val="24"/>
          <w:szCs w:val="24"/>
        </w:rPr>
        <w:t xml:space="preserve">Royalty (oil, </w:t>
      </w:r>
      <w:r w:rsidR="00236AFC" w:rsidRPr="00AD7A6C">
        <w:rPr>
          <w:rFonts w:ascii="Footlight MT Light" w:hAnsi="Footlight MT Light"/>
          <w:b/>
          <w:bCs/>
          <w:sz w:val="24"/>
          <w:szCs w:val="24"/>
        </w:rPr>
        <w:t>gas,</w:t>
      </w:r>
      <w:r w:rsidR="00843F16" w:rsidRPr="00AD7A6C">
        <w:rPr>
          <w:rFonts w:ascii="Footlight MT Light" w:hAnsi="Footlight MT Light"/>
          <w:b/>
          <w:bCs/>
          <w:sz w:val="24"/>
          <w:szCs w:val="24"/>
        </w:rPr>
        <w:t xml:space="preserve"> and solid minerals):</w:t>
      </w:r>
      <w:r w:rsidR="00E90508" w:rsidRPr="00AD7A6C">
        <w:rPr>
          <w:rFonts w:ascii="Footlight MT Light" w:hAnsi="Footlight MT Light"/>
          <w:b/>
          <w:bCs/>
          <w:sz w:val="24"/>
          <w:szCs w:val="24"/>
        </w:rPr>
        <w:t xml:space="preserve"> NUPRC and MMSD</w:t>
      </w:r>
    </w:p>
    <w:p w14:paraId="3B4B52E7" w14:textId="77777777" w:rsidR="00767731" w:rsidRPr="00AD7A6C" w:rsidRDefault="00767731" w:rsidP="006E69D2">
      <w:pPr>
        <w:tabs>
          <w:tab w:val="left" w:pos="1440"/>
        </w:tabs>
        <w:spacing w:after="0"/>
        <w:jc w:val="both"/>
        <w:rPr>
          <w:rFonts w:ascii="Footlight MT Light" w:hAnsi="Footlight MT Light"/>
          <w:b/>
          <w:bCs/>
          <w:sz w:val="24"/>
          <w:szCs w:val="24"/>
        </w:rPr>
      </w:pPr>
    </w:p>
    <w:p w14:paraId="6A4BB712" w14:textId="588A58D0" w:rsidR="00843F16" w:rsidRPr="00AD7A6C" w:rsidRDefault="00843F16" w:rsidP="006E69D2">
      <w:pPr>
        <w:tabs>
          <w:tab w:val="left" w:pos="1440"/>
        </w:tabs>
        <w:spacing w:after="0"/>
        <w:jc w:val="both"/>
        <w:rPr>
          <w:rFonts w:ascii="Footlight MT Light" w:hAnsi="Footlight MT Light"/>
          <w:sz w:val="24"/>
          <w:szCs w:val="24"/>
        </w:rPr>
      </w:pPr>
      <w:r w:rsidRPr="00AD7A6C">
        <w:rPr>
          <w:rFonts w:ascii="Footlight MT Light" w:hAnsi="Footlight MT Light"/>
          <w:sz w:val="24"/>
          <w:szCs w:val="24"/>
        </w:rPr>
        <w:t xml:space="preserve">The federal government charges all oil and gas companies operating in the country a royalty(fee) on crude oil (hydrocarbon) and solid mineral resources extracted within its </w:t>
      </w:r>
      <w:r w:rsidRPr="00AD7A6C">
        <w:rPr>
          <w:rFonts w:ascii="Footlight MT Light" w:hAnsi="Footlight MT Light"/>
          <w:sz w:val="24"/>
          <w:szCs w:val="24"/>
        </w:rPr>
        <w:lastRenderedPageBreak/>
        <w:t xml:space="preserve">jurisdiction. Royalty oil is a percentage share of production </w:t>
      </w:r>
      <w:r w:rsidR="00D17630" w:rsidRPr="00AD7A6C">
        <w:rPr>
          <w:rFonts w:ascii="Footlight MT Light" w:hAnsi="Footlight MT Light"/>
          <w:sz w:val="24"/>
          <w:szCs w:val="24"/>
        </w:rPr>
        <w:t>i.e.,</w:t>
      </w:r>
      <w:r w:rsidRPr="00AD7A6C">
        <w:rPr>
          <w:rFonts w:ascii="Footlight MT Light" w:hAnsi="Footlight MT Light"/>
          <w:sz w:val="24"/>
          <w:szCs w:val="24"/>
        </w:rPr>
        <w:t xml:space="preserve"> the value derived from oil production, paid from a producing well. The </w:t>
      </w:r>
      <w:r w:rsidR="00236AFC" w:rsidRPr="00AD7A6C">
        <w:rPr>
          <w:rFonts w:ascii="Footlight MT Light" w:hAnsi="Footlight MT Light"/>
          <w:sz w:val="24"/>
          <w:szCs w:val="24"/>
        </w:rPr>
        <w:t>NUPRC and the MID collect on behalf o</w:t>
      </w:r>
      <w:r w:rsidR="00D17630" w:rsidRPr="00AD7A6C">
        <w:rPr>
          <w:rFonts w:ascii="Footlight MT Light" w:hAnsi="Footlight MT Light"/>
          <w:sz w:val="24"/>
          <w:szCs w:val="24"/>
        </w:rPr>
        <w:t>f</w:t>
      </w:r>
      <w:r w:rsidR="00236AFC" w:rsidRPr="00AD7A6C">
        <w:rPr>
          <w:rFonts w:ascii="Footlight MT Light" w:hAnsi="Footlight MT Light"/>
          <w:sz w:val="24"/>
          <w:szCs w:val="24"/>
        </w:rPr>
        <w:t xml:space="preserve"> government royalties from </w:t>
      </w:r>
      <w:r w:rsidR="00D17630" w:rsidRPr="00AD7A6C">
        <w:rPr>
          <w:rFonts w:ascii="Footlight MT Light" w:hAnsi="Footlight MT Light"/>
          <w:sz w:val="24"/>
          <w:szCs w:val="24"/>
        </w:rPr>
        <w:t xml:space="preserve">the </w:t>
      </w:r>
      <w:r w:rsidR="00236AFC" w:rsidRPr="00AD7A6C">
        <w:rPr>
          <w:rFonts w:ascii="Footlight MT Light" w:hAnsi="Footlight MT Light"/>
          <w:sz w:val="24"/>
          <w:szCs w:val="24"/>
        </w:rPr>
        <w:t>o</w:t>
      </w:r>
      <w:r w:rsidR="00D17630" w:rsidRPr="00AD7A6C">
        <w:rPr>
          <w:rFonts w:ascii="Footlight MT Light" w:hAnsi="Footlight MT Light"/>
          <w:sz w:val="24"/>
          <w:szCs w:val="24"/>
        </w:rPr>
        <w:t>il, gas, and solid mineral sectors of the Nigerian economy</w:t>
      </w:r>
      <w:r w:rsidRPr="00AD7A6C">
        <w:rPr>
          <w:rFonts w:ascii="Footlight MT Light" w:hAnsi="Footlight MT Light"/>
          <w:sz w:val="24"/>
          <w:szCs w:val="24"/>
        </w:rPr>
        <w:t>.</w:t>
      </w:r>
    </w:p>
    <w:p w14:paraId="0AB400F9" w14:textId="77777777" w:rsidR="00F34396" w:rsidRPr="00AD7A6C" w:rsidRDefault="00F34396" w:rsidP="006E69D2">
      <w:pPr>
        <w:spacing w:after="0" w:line="240" w:lineRule="auto"/>
        <w:jc w:val="both"/>
        <w:rPr>
          <w:rFonts w:ascii="Footlight MT Light" w:hAnsi="Footlight MT Light"/>
          <w:sz w:val="24"/>
          <w:szCs w:val="24"/>
        </w:rPr>
      </w:pPr>
      <w:r w:rsidRPr="00AD7A6C">
        <w:rPr>
          <w:rFonts w:ascii="Footlight MT Light" w:hAnsi="Footlight MT Light"/>
          <w:sz w:val="24"/>
          <w:szCs w:val="24"/>
        </w:rPr>
        <w:t>There are two main sets of royalty rates for oil &amp; gas, pre-Petroleum Industry Act (PIA) and post-PIA:</w:t>
      </w:r>
    </w:p>
    <w:p w14:paraId="71B285CE" w14:textId="17BFDE6A" w:rsidR="000D6B43" w:rsidRPr="000D6B43" w:rsidRDefault="0016612A" w:rsidP="006E69D2">
      <w:pPr>
        <w:spacing w:after="0" w:line="240" w:lineRule="auto"/>
        <w:jc w:val="both"/>
        <w:rPr>
          <w:rFonts w:ascii="Footlight MT Light" w:eastAsia="Times New Roman" w:hAnsi="Footlight MT Light" w:cs="Times New Roman"/>
          <w:kern w:val="0"/>
          <w:sz w:val="24"/>
          <w:szCs w:val="24"/>
          <w14:ligatures w14:val="none"/>
        </w:rPr>
      </w:pPr>
      <w:r w:rsidRPr="00AD7A6C">
        <w:rPr>
          <w:rFonts w:ascii="Footlight MT Light" w:eastAsia="Times New Roman" w:hAnsi="Footlight MT Light" w:cs="Times New Roman"/>
          <w:kern w:val="0"/>
          <w:sz w:val="24"/>
          <w:szCs w:val="24"/>
          <w14:ligatures w14:val="none"/>
        </w:rPr>
        <w:t>4.</w:t>
      </w:r>
      <w:r w:rsidR="00C75A2D" w:rsidRPr="00AD7A6C">
        <w:rPr>
          <w:rFonts w:ascii="Footlight MT Light" w:eastAsia="Times New Roman" w:hAnsi="Footlight MT Light" w:cs="Times New Roman"/>
          <w:kern w:val="0"/>
          <w:sz w:val="24"/>
          <w:szCs w:val="24"/>
          <w14:ligatures w14:val="none"/>
        </w:rPr>
        <w:t>1.1</w:t>
      </w:r>
      <w:r w:rsidR="00C75A2D" w:rsidRPr="00AD7A6C">
        <w:rPr>
          <w:rFonts w:ascii="Footlight MT Light" w:eastAsia="Times New Roman" w:hAnsi="Footlight MT Light" w:cs="Times New Roman"/>
          <w:kern w:val="0"/>
          <w:sz w:val="24"/>
          <w:szCs w:val="24"/>
          <w14:ligatures w14:val="none"/>
        </w:rPr>
        <w:tab/>
      </w:r>
      <w:r w:rsidR="000D6B43" w:rsidRPr="000D6B43">
        <w:rPr>
          <w:rFonts w:ascii="Footlight MT Light" w:eastAsia="Times New Roman" w:hAnsi="Footlight MT Light" w:cs="Times New Roman"/>
          <w:kern w:val="0"/>
          <w:sz w:val="24"/>
          <w:szCs w:val="24"/>
          <w14:ligatures w14:val="none"/>
        </w:rPr>
        <w:t>Oil</w:t>
      </w:r>
      <w:r w:rsidR="009E5197" w:rsidRPr="00AD7A6C">
        <w:rPr>
          <w:rFonts w:ascii="Footlight MT Light" w:eastAsia="Times New Roman" w:hAnsi="Footlight MT Light" w:cs="Times New Roman"/>
          <w:kern w:val="0"/>
          <w:sz w:val="24"/>
          <w:szCs w:val="24"/>
          <w14:ligatures w14:val="none"/>
        </w:rPr>
        <w:t xml:space="preserve"> Royalty</w:t>
      </w:r>
      <w:r w:rsidR="000D6B43" w:rsidRPr="000D6B43">
        <w:rPr>
          <w:rFonts w:ascii="Footlight MT Light" w:eastAsia="Times New Roman" w:hAnsi="Footlight MT Light" w:cs="Times New Roman"/>
          <w:kern w:val="0"/>
          <w:sz w:val="24"/>
          <w:szCs w:val="24"/>
          <w14:ligatures w14:val="none"/>
        </w:rPr>
        <w:t>:</w:t>
      </w:r>
    </w:p>
    <w:p w14:paraId="68C436B4" w14:textId="77777777" w:rsidR="000D6B43" w:rsidRPr="000D6B43" w:rsidRDefault="000D6B43" w:rsidP="006E69D2">
      <w:pPr>
        <w:numPr>
          <w:ilvl w:val="0"/>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 xml:space="preserve">Pre-PIA: Royalty rates varied based on water depth and location. </w:t>
      </w:r>
    </w:p>
    <w:p w14:paraId="4A7395CB"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Onshore: 20%</w:t>
      </w:r>
    </w:p>
    <w:p w14:paraId="4F4676FE"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Shallow Offshore (0-100m): 16.5%</w:t>
      </w:r>
    </w:p>
    <w:p w14:paraId="5D4FDDD7"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Deep Offshore (101-200m): 10%</w:t>
      </w:r>
    </w:p>
    <w:p w14:paraId="5BFE6CB3"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Deep Offshore (&gt;200m) &amp; Frontier Basins: 7.5%</w:t>
      </w:r>
    </w:p>
    <w:p w14:paraId="4A9D08EF"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Additional royalty based on oil price exceeding $20/barrel (0% - 8% based on price range).</w:t>
      </w:r>
    </w:p>
    <w:p w14:paraId="056CA6F9" w14:textId="77777777" w:rsidR="000D6B43" w:rsidRPr="000D6B43" w:rsidRDefault="000D6B43" w:rsidP="006E69D2">
      <w:pPr>
        <w:numPr>
          <w:ilvl w:val="0"/>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 xml:space="preserve">Post-PIA (Petroleum Industry Act): Royalty rates are simpler and depend on location and production volume. </w:t>
      </w:r>
    </w:p>
    <w:p w14:paraId="344E5262"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Onshore: 15%</w:t>
      </w:r>
    </w:p>
    <w:p w14:paraId="3BBB4EB8"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Shallow Offshore (0-200m): 12.5%</w:t>
      </w:r>
    </w:p>
    <w:p w14:paraId="1BC7CFDF"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Deep Offshore (&gt;200m) &amp; Frontier Basins: 7.5%</w:t>
      </w:r>
    </w:p>
    <w:p w14:paraId="5B7E6E7C" w14:textId="77777777" w:rsidR="000D6B43" w:rsidRPr="000D6B43" w:rsidRDefault="000D6B43" w:rsidP="006E69D2">
      <w:pPr>
        <w:numPr>
          <w:ilvl w:val="1"/>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 xml:space="preserve">Reduced rates for low production volumes: </w:t>
      </w:r>
    </w:p>
    <w:p w14:paraId="1C616809" w14:textId="77777777" w:rsidR="000D6B43" w:rsidRPr="000D6B43" w:rsidRDefault="000D6B43" w:rsidP="006E69D2">
      <w:pPr>
        <w:numPr>
          <w:ilvl w:val="2"/>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Deep Offshore (≤ 50,000 bopd): 5%</w:t>
      </w:r>
    </w:p>
    <w:p w14:paraId="5FE0E4B4" w14:textId="540983A2" w:rsidR="000D6B43" w:rsidRPr="000D6B43" w:rsidRDefault="000D6B43" w:rsidP="006E69D2">
      <w:pPr>
        <w:numPr>
          <w:ilvl w:val="2"/>
          <w:numId w:val="13"/>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Onshore, Shallow Offshore, Frontier &amp; Marginal Fields (≤ 10,000 bopd): graduated scale (5% for first 5,000 bopd, 7.5% for exceeding volumes)</w:t>
      </w:r>
      <w:r w:rsidR="002A2999" w:rsidRPr="00AD7A6C">
        <w:rPr>
          <w:rFonts w:ascii="Footlight MT Light" w:eastAsia="Times New Roman" w:hAnsi="Footlight MT Light" w:cs="Times New Roman"/>
          <w:kern w:val="0"/>
          <w:sz w:val="24"/>
          <w:szCs w:val="24"/>
          <w14:ligatures w14:val="none"/>
        </w:rPr>
        <w:t>.</w:t>
      </w:r>
    </w:p>
    <w:p w14:paraId="51B2B983" w14:textId="57AD5CA5" w:rsidR="000D6B43" w:rsidRPr="000D6B43" w:rsidRDefault="0016612A" w:rsidP="006E69D2">
      <w:pPr>
        <w:spacing w:after="0" w:line="240" w:lineRule="auto"/>
        <w:jc w:val="both"/>
        <w:rPr>
          <w:rFonts w:ascii="Footlight MT Light" w:eastAsia="Times New Roman" w:hAnsi="Footlight MT Light" w:cs="Times New Roman"/>
          <w:kern w:val="0"/>
          <w:sz w:val="24"/>
          <w:szCs w:val="24"/>
          <w14:ligatures w14:val="none"/>
        </w:rPr>
      </w:pPr>
      <w:r w:rsidRPr="00AD7A6C">
        <w:rPr>
          <w:rFonts w:ascii="Footlight MT Light" w:eastAsia="Times New Roman" w:hAnsi="Footlight MT Light" w:cs="Times New Roman"/>
          <w:kern w:val="0"/>
          <w:sz w:val="24"/>
          <w:szCs w:val="24"/>
          <w14:ligatures w14:val="none"/>
        </w:rPr>
        <w:t>4.</w:t>
      </w:r>
      <w:r w:rsidR="00C75A2D" w:rsidRPr="00AD7A6C">
        <w:rPr>
          <w:rFonts w:ascii="Footlight MT Light" w:eastAsia="Times New Roman" w:hAnsi="Footlight MT Light" w:cs="Times New Roman"/>
          <w:kern w:val="0"/>
          <w:sz w:val="24"/>
          <w:szCs w:val="24"/>
          <w14:ligatures w14:val="none"/>
        </w:rPr>
        <w:t>1.2</w:t>
      </w:r>
      <w:r w:rsidR="00C75A2D" w:rsidRPr="00AD7A6C">
        <w:rPr>
          <w:rFonts w:ascii="Footlight MT Light" w:eastAsia="Times New Roman" w:hAnsi="Footlight MT Light" w:cs="Times New Roman"/>
          <w:kern w:val="0"/>
          <w:sz w:val="24"/>
          <w:szCs w:val="24"/>
          <w14:ligatures w14:val="none"/>
        </w:rPr>
        <w:tab/>
      </w:r>
      <w:r w:rsidR="000D6B43" w:rsidRPr="000D6B43">
        <w:rPr>
          <w:rFonts w:ascii="Footlight MT Light" w:eastAsia="Times New Roman" w:hAnsi="Footlight MT Light" w:cs="Times New Roman"/>
          <w:kern w:val="0"/>
          <w:sz w:val="24"/>
          <w:szCs w:val="24"/>
          <w14:ligatures w14:val="none"/>
        </w:rPr>
        <w:t>Gas</w:t>
      </w:r>
      <w:r w:rsidR="009E5197" w:rsidRPr="00AD7A6C">
        <w:rPr>
          <w:rFonts w:ascii="Footlight MT Light" w:eastAsia="Times New Roman" w:hAnsi="Footlight MT Light" w:cs="Times New Roman"/>
          <w:kern w:val="0"/>
          <w:sz w:val="24"/>
          <w:szCs w:val="24"/>
          <w14:ligatures w14:val="none"/>
        </w:rPr>
        <w:t xml:space="preserve"> Royalty</w:t>
      </w:r>
      <w:r w:rsidR="000D6B43" w:rsidRPr="000D6B43">
        <w:rPr>
          <w:rFonts w:ascii="Footlight MT Light" w:eastAsia="Times New Roman" w:hAnsi="Footlight MT Light" w:cs="Times New Roman"/>
          <w:kern w:val="0"/>
          <w:sz w:val="24"/>
          <w:szCs w:val="24"/>
          <w14:ligatures w14:val="none"/>
        </w:rPr>
        <w:t>:</w:t>
      </w:r>
    </w:p>
    <w:p w14:paraId="5083B48D" w14:textId="77777777" w:rsidR="000D6B43" w:rsidRPr="00AD7A6C" w:rsidRDefault="000D6B43" w:rsidP="006E69D2">
      <w:pPr>
        <w:pStyle w:val="ListParagraph"/>
        <w:numPr>
          <w:ilvl w:val="0"/>
          <w:numId w:val="16"/>
        </w:numPr>
        <w:spacing w:after="0" w:line="240" w:lineRule="auto"/>
        <w:jc w:val="both"/>
        <w:rPr>
          <w:rFonts w:ascii="Footlight MT Light" w:eastAsia="Times New Roman" w:hAnsi="Footlight MT Light" w:cs="Times New Roman"/>
          <w:kern w:val="0"/>
          <w:sz w:val="24"/>
          <w:szCs w:val="24"/>
          <w14:ligatures w14:val="none"/>
        </w:rPr>
      </w:pPr>
      <w:r w:rsidRPr="00AD7A6C">
        <w:rPr>
          <w:rFonts w:ascii="Footlight MT Light" w:eastAsia="Times New Roman" w:hAnsi="Footlight MT Light" w:cs="Times New Roman"/>
          <w:kern w:val="0"/>
          <w:sz w:val="24"/>
          <w:szCs w:val="24"/>
          <w14:ligatures w14:val="none"/>
        </w:rPr>
        <w:t xml:space="preserve">Pre-PIA: Royalty rates varied by location. </w:t>
      </w:r>
    </w:p>
    <w:p w14:paraId="67B25685" w14:textId="77777777" w:rsidR="000D6B43" w:rsidRPr="000D6B43" w:rsidRDefault="000D6B43" w:rsidP="006E69D2">
      <w:pPr>
        <w:numPr>
          <w:ilvl w:val="1"/>
          <w:numId w:val="14"/>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Onshore: 7% of gas sale value</w:t>
      </w:r>
    </w:p>
    <w:p w14:paraId="3FAE093A" w14:textId="77777777" w:rsidR="000D6B43" w:rsidRPr="000D6B43" w:rsidRDefault="000D6B43" w:rsidP="006E69D2">
      <w:pPr>
        <w:numPr>
          <w:ilvl w:val="1"/>
          <w:numId w:val="14"/>
        </w:numPr>
        <w:spacing w:after="0"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Offshore: 5% of gas sale value</w:t>
      </w:r>
    </w:p>
    <w:p w14:paraId="12A4D8E7" w14:textId="74623590" w:rsidR="000D6B43" w:rsidRPr="00AD7A6C" w:rsidRDefault="000D6B43" w:rsidP="006E69D2">
      <w:pPr>
        <w:pStyle w:val="ListParagraph"/>
        <w:numPr>
          <w:ilvl w:val="0"/>
          <w:numId w:val="16"/>
        </w:numPr>
        <w:spacing w:after="0" w:line="240" w:lineRule="auto"/>
        <w:jc w:val="both"/>
        <w:rPr>
          <w:rFonts w:ascii="Footlight MT Light" w:eastAsia="Times New Roman" w:hAnsi="Footlight MT Light" w:cs="Times New Roman"/>
          <w:kern w:val="0"/>
          <w:sz w:val="24"/>
          <w:szCs w:val="24"/>
          <w14:ligatures w14:val="none"/>
        </w:rPr>
      </w:pPr>
      <w:r w:rsidRPr="00AD7A6C">
        <w:rPr>
          <w:rFonts w:ascii="Footlight MT Light" w:eastAsia="Times New Roman" w:hAnsi="Footlight MT Light" w:cs="Times New Roman"/>
          <w:kern w:val="0"/>
          <w:sz w:val="24"/>
          <w:szCs w:val="24"/>
          <w14:ligatures w14:val="none"/>
        </w:rPr>
        <w:t>Post-PIA</w:t>
      </w:r>
      <w:r w:rsidRPr="00AD7A6C">
        <w:rPr>
          <w:rFonts w:ascii="Footlight MT Light" w:eastAsia="Times New Roman" w:hAnsi="Footlight MT Light" w:cs="Times New Roman"/>
          <w:b/>
          <w:bCs/>
          <w:kern w:val="0"/>
          <w:sz w:val="24"/>
          <w:szCs w:val="24"/>
          <w14:ligatures w14:val="none"/>
        </w:rPr>
        <w:t>:</w:t>
      </w:r>
      <w:r w:rsidRPr="00AD7A6C">
        <w:rPr>
          <w:rFonts w:ascii="Footlight MT Light" w:eastAsia="Times New Roman" w:hAnsi="Footlight MT Light" w:cs="Times New Roman"/>
          <w:kern w:val="0"/>
          <w:sz w:val="24"/>
          <w:szCs w:val="24"/>
          <w14:ligatures w14:val="none"/>
        </w:rPr>
        <w:t xml:space="preserve"> Royalty rate is a flat 5% regardless of location, with a further reduction to    </w:t>
      </w:r>
      <w:r w:rsidR="0016612A" w:rsidRPr="00AD7A6C">
        <w:rPr>
          <w:rFonts w:ascii="Footlight MT Light" w:eastAsia="Times New Roman" w:hAnsi="Footlight MT Light" w:cs="Times New Roman"/>
          <w:kern w:val="0"/>
          <w:sz w:val="24"/>
          <w:szCs w:val="24"/>
          <w14:ligatures w14:val="none"/>
        </w:rPr>
        <w:t xml:space="preserve">    </w:t>
      </w:r>
      <w:r w:rsidRPr="00AD7A6C">
        <w:rPr>
          <w:rFonts w:ascii="Footlight MT Light" w:eastAsia="Times New Roman" w:hAnsi="Footlight MT Light" w:cs="Times New Roman"/>
          <w:kern w:val="0"/>
          <w:sz w:val="24"/>
          <w:szCs w:val="24"/>
          <w14:ligatures w14:val="none"/>
        </w:rPr>
        <w:t>2.5% for gas utilized domestically.</w:t>
      </w:r>
    </w:p>
    <w:p w14:paraId="5921DFCC" w14:textId="57DED856" w:rsidR="000D6B43" w:rsidRPr="000D6B43" w:rsidRDefault="0016612A" w:rsidP="006E69D2">
      <w:pPr>
        <w:spacing w:before="100" w:beforeAutospacing="1" w:after="100" w:afterAutospacing="1" w:line="240" w:lineRule="auto"/>
        <w:jc w:val="both"/>
        <w:rPr>
          <w:rFonts w:ascii="Footlight MT Light" w:eastAsia="Times New Roman" w:hAnsi="Footlight MT Light" w:cs="Times New Roman"/>
          <w:kern w:val="0"/>
          <w:sz w:val="24"/>
          <w:szCs w:val="24"/>
          <w14:ligatures w14:val="none"/>
        </w:rPr>
      </w:pPr>
      <w:r w:rsidRPr="00AD7A6C">
        <w:rPr>
          <w:rFonts w:ascii="Footlight MT Light" w:eastAsia="Times New Roman" w:hAnsi="Footlight MT Light" w:cs="Times New Roman"/>
          <w:kern w:val="0"/>
          <w:sz w:val="24"/>
          <w:szCs w:val="24"/>
          <w14:ligatures w14:val="none"/>
        </w:rPr>
        <w:t>4.</w:t>
      </w:r>
      <w:r w:rsidR="00C75A2D" w:rsidRPr="00AD7A6C">
        <w:rPr>
          <w:rFonts w:ascii="Footlight MT Light" w:eastAsia="Times New Roman" w:hAnsi="Footlight MT Light" w:cs="Times New Roman"/>
          <w:kern w:val="0"/>
          <w:sz w:val="24"/>
          <w:szCs w:val="24"/>
          <w14:ligatures w14:val="none"/>
        </w:rPr>
        <w:t>1.3</w:t>
      </w:r>
      <w:r w:rsidR="00C75A2D" w:rsidRPr="00AD7A6C">
        <w:rPr>
          <w:rFonts w:ascii="Footlight MT Light" w:eastAsia="Times New Roman" w:hAnsi="Footlight MT Light" w:cs="Times New Roman"/>
          <w:kern w:val="0"/>
          <w:sz w:val="24"/>
          <w:szCs w:val="24"/>
          <w14:ligatures w14:val="none"/>
        </w:rPr>
        <w:tab/>
      </w:r>
      <w:r w:rsidR="000D6B43" w:rsidRPr="000D6B43">
        <w:rPr>
          <w:rFonts w:ascii="Footlight MT Light" w:eastAsia="Times New Roman" w:hAnsi="Footlight MT Light" w:cs="Times New Roman"/>
          <w:kern w:val="0"/>
          <w:sz w:val="24"/>
          <w:szCs w:val="24"/>
          <w14:ligatures w14:val="none"/>
        </w:rPr>
        <w:t>Solid Minerals</w:t>
      </w:r>
      <w:r w:rsidR="009E5197" w:rsidRPr="00AD7A6C">
        <w:rPr>
          <w:rFonts w:ascii="Footlight MT Light" w:eastAsia="Times New Roman" w:hAnsi="Footlight MT Light" w:cs="Times New Roman"/>
          <w:kern w:val="0"/>
          <w:sz w:val="24"/>
          <w:szCs w:val="24"/>
          <w14:ligatures w14:val="none"/>
        </w:rPr>
        <w:t xml:space="preserve"> Royalty</w:t>
      </w:r>
      <w:r w:rsidR="000D6B43" w:rsidRPr="000D6B43">
        <w:rPr>
          <w:rFonts w:ascii="Footlight MT Light" w:eastAsia="Times New Roman" w:hAnsi="Footlight MT Light" w:cs="Times New Roman"/>
          <w:kern w:val="0"/>
          <w:sz w:val="24"/>
          <w:szCs w:val="24"/>
          <w14:ligatures w14:val="none"/>
        </w:rPr>
        <w:t>:</w:t>
      </w:r>
    </w:p>
    <w:p w14:paraId="16199C07" w14:textId="77777777" w:rsidR="00C75A2D" w:rsidRPr="00AD7A6C" w:rsidRDefault="000D6B43" w:rsidP="006E69D2">
      <w:pPr>
        <w:numPr>
          <w:ilvl w:val="0"/>
          <w:numId w:val="15"/>
        </w:numPr>
        <w:spacing w:before="100" w:beforeAutospacing="1" w:after="100" w:afterAutospacing="1" w:line="240" w:lineRule="auto"/>
        <w:jc w:val="both"/>
        <w:rPr>
          <w:rFonts w:ascii="Footlight MT Light" w:eastAsia="Times New Roman" w:hAnsi="Footlight MT Light" w:cs="Times New Roman"/>
          <w:kern w:val="0"/>
          <w:sz w:val="24"/>
          <w:szCs w:val="24"/>
          <w14:ligatures w14:val="none"/>
        </w:rPr>
      </w:pPr>
      <w:r w:rsidRPr="000D6B43">
        <w:rPr>
          <w:rFonts w:ascii="Footlight MT Light" w:eastAsia="Times New Roman" w:hAnsi="Footlight MT Light" w:cs="Times New Roman"/>
          <w:kern w:val="0"/>
          <w:sz w:val="24"/>
          <w:szCs w:val="24"/>
          <w14:ligatures w14:val="none"/>
        </w:rPr>
        <w:t>Royalty rates range from 3% to 5% depending on the specific mineral being mined or explored.</w:t>
      </w:r>
    </w:p>
    <w:p w14:paraId="5745E5BC" w14:textId="20B83AFC" w:rsidR="00C75A2D" w:rsidRPr="00AD7A6C" w:rsidRDefault="00C75A2D" w:rsidP="006E69D2">
      <w:pPr>
        <w:spacing w:before="100" w:beforeAutospacing="1" w:after="100" w:afterAutospacing="1" w:line="240" w:lineRule="auto"/>
        <w:ind w:left="720" w:hanging="720"/>
        <w:jc w:val="both"/>
        <w:rPr>
          <w:rFonts w:ascii="Footlight MT Light" w:eastAsia="Times New Roman" w:hAnsi="Footlight MT Light" w:cs="Times New Roman"/>
          <w:kern w:val="0"/>
          <w:sz w:val="24"/>
          <w:szCs w:val="24"/>
          <w14:ligatures w14:val="none"/>
        </w:rPr>
      </w:pPr>
      <w:r w:rsidRPr="00AD7A6C">
        <w:rPr>
          <w:rFonts w:ascii="Footlight MT Light" w:eastAsia="Times New Roman" w:hAnsi="Footlight MT Light" w:cs="Times New Roman"/>
          <w:b/>
          <w:bCs/>
          <w:kern w:val="0"/>
          <w:sz w:val="24"/>
          <w:szCs w:val="24"/>
          <w14:ligatures w14:val="none"/>
        </w:rPr>
        <w:t>4.2</w:t>
      </w:r>
      <w:r w:rsidRPr="00AD7A6C">
        <w:rPr>
          <w:rFonts w:ascii="Footlight MT Light" w:eastAsia="Times New Roman" w:hAnsi="Footlight MT Light" w:cs="Times New Roman"/>
          <w:b/>
          <w:bCs/>
          <w:kern w:val="0"/>
          <w:sz w:val="24"/>
          <w:szCs w:val="24"/>
          <w14:ligatures w14:val="none"/>
        </w:rPr>
        <w:tab/>
      </w:r>
      <w:r w:rsidRPr="00AD7A6C">
        <w:rPr>
          <w:rFonts w:ascii="Footlight MT Light" w:hAnsi="Footlight MT Light"/>
          <w:b/>
          <w:bCs/>
          <w:sz w:val="24"/>
          <w:szCs w:val="24"/>
        </w:rPr>
        <w:t>Taxes on minerals, other mining activities, Petroleum Profit Tax, Hydrocarbon Tax and   Capita</w:t>
      </w:r>
      <w:r w:rsidR="007964E3" w:rsidRPr="00AD7A6C">
        <w:rPr>
          <w:rFonts w:ascii="Footlight MT Light" w:hAnsi="Footlight MT Light"/>
          <w:b/>
          <w:bCs/>
          <w:sz w:val="24"/>
          <w:szCs w:val="24"/>
        </w:rPr>
        <w:t>l</w:t>
      </w:r>
      <w:r w:rsidRPr="00AD7A6C">
        <w:rPr>
          <w:rFonts w:ascii="Footlight MT Light" w:hAnsi="Footlight MT Light"/>
          <w:b/>
          <w:bCs/>
          <w:sz w:val="24"/>
          <w:szCs w:val="24"/>
        </w:rPr>
        <w:t xml:space="preserve"> Gain Tax</w:t>
      </w:r>
      <w:r w:rsidR="00767731" w:rsidRPr="00AD7A6C">
        <w:rPr>
          <w:rFonts w:ascii="Footlight MT Light" w:hAnsi="Footlight MT Light"/>
          <w:b/>
          <w:bCs/>
          <w:sz w:val="24"/>
          <w:szCs w:val="24"/>
        </w:rPr>
        <w:t xml:space="preserve">: </w:t>
      </w:r>
      <w:r w:rsidR="00767731" w:rsidRPr="00AD7A6C">
        <w:rPr>
          <w:rFonts w:ascii="Footlight MT Light" w:eastAsia="Times New Roman" w:hAnsi="Footlight MT Light" w:cs="Times New Roman"/>
          <w:b/>
          <w:bCs/>
          <w:kern w:val="0"/>
          <w:sz w:val="24"/>
          <w:szCs w:val="24"/>
          <w14:ligatures w14:val="none"/>
        </w:rPr>
        <w:t>FIRS</w:t>
      </w:r>
    </w:p>
    <w:p w14:paraId="0B99CE59" w14:textId="50212249" w:rsidR="00C75A2D" w:rsidRPr="00AD7A6C" w:rsidRDefault="00C75A2D" w:rsidP="006E69D2">
      <w:pPr>
        <w:jc w:val="both"/>
        <w:rPr>
          <w:rFonts w:ascii="Footlight MT Light" w:eastAsia="Times New Roman" w:hAnsi="Footlight MT Light" w:cs="Times New Roman"/>
          <w:b/>
          <w:bCs/>
          <w:kern w:val="0"/>
          <w:sz w:val="24"/>
          <w:szCs w:val="24"/>
          <w14:ligatures w14:val="none"/>
        </w:rPr>
      </w:pPr>
      <w:r w:rsidRPr="00AD7A6C">
        <w:rPr>
          <w:rFonts w:ascii="Footlight MT Light" w:eastAsia="Times New Roman" w:hAnsi="Footlight MT Light" w:cs="Times New Roman"/>
          <w:kern w:val="0"/>
          <w:sz w:val="24"/>
          <w:szCs w:val="24"/>
          <w14:ligatures w14:val="none"/>
        </w:rPr>
        <w:t>4.2.1</w:t>
      </w:r>
      <w:r w:rsidRPr="00AD7A6C">
        <w:rPr>
          <w:rFonts w:ascii="Footlight MT Light" w:eastAsia="Times New Roman" w:hAnsi="Footlight MT Light" w:cs="Times New Roman"/>
          <w:b/>
          <w:bCs/>
          <w:kern w:val="0"/>
          <w:sz w:val="24"/>
          <w:szCs w:val="24"/>
          <w14:ligatures w14:val="none"/>
        </w:rPr>
        <w:tab/>
      </w:r>
      <w:r w:rsidRPr="00AD7A6C">
        <w:rPr>
          <w:rFonts w:ascii="Footlight MT Light" w:eastAsia="Times New Roman" w:hAnsi="Footlight MT Light" w:cs="Times New Roman"/>
          <w:kern w:val="0"/>
          <w:sz w:val="24"/>
          <w:szCs w:val="24"/>
          <w14:ligatures w14:val="none"/>
        </w:rPr>
        <w:t>Petroleum Profits Tax (PPT) /Hydrocarbon Tax (HT)</w:t>
      </w:r>
      <w:r w:rsidR="00335BD5" w:rsidRPr="00AD7A6C">
        <w:rPr>
          <w:rFonts w:ascii="Footlight MT Light" w:eastAsia="Times New Roman" w:hAnsi="Footlight MT Light" w:cs="Times New Roman"/>
          <w:kern w:val="0"/>
          <w:sz w:val="24"/>
          <w:szCs w:val="24"/>
          <w14:ligatures w14:val="none"/>
        </w:rPr>
        <w:t>:</w:t>
      </w:r>
      <w:r w:rsidR="00767731" w:rsidRPr="00AD7A6C">
        <w:rPr>
          <w:rFonts w:ascii="Footlight MT Light" w:eastAsia="Times New Roman" w:hAnsi="Footlight MT Light" w:cs="Times New Roman"/>
          <w:b/>
          <w:bCs/>
          <w:kern w:val="0"/>
          <w:sz w:val="24"/>
          <w:szCs w:val="24"/>
          <w14:ligatures w14:val="none"/>
        </w:rPr>
        <w:t xml:space="preserve"> </w:t>
      </w:r>
    </w:p>
    <w:p w14:paraId="5E2BC3B5" w14:textId="1B9BDBEC" w:rsidR="003F0778" w:rsidRPr="00AD7A6C" w:rsidRDefault="003F0778" w:rsidP="006E69D2">
      <w:pPr>
        <w:ind w:left="720"/>
        <w:jc w:val="both"/>
        <w:rPr>
          <w:rFonts w:ascii="Footlight MT Light" w:hAnsi="Footlight MT Light"/>
          <w:sz w:val="24"/>
          <w:szCs w:val="24"/>
        </w:rPr>
      </w:pPr>
      <w:r w:rsidRPr="00AD7A6C">
        <w:rPr>
          <w:rFonts w:ascii="Footlight MT Light" w:hAnsi="Footlight MT Light"/>
          <w:sz w:val="24"/>
          <w:szCs w:val="24"/>
        </w:rPr>
        <w:t>Petroleum Profit Tax (PPT) and Hydrocarbon Tax (HT) are levies imposed on the profits of oil and gas companies involved in upstream petroleum operations. The PPT, regulated by the PPTA 2007 and the HT by PIA 2021, sets different rates for Joint Ventures (JV), Sole Risk, and Companies under Production Sharing agreements:</w:t>
      </w:r>
      <w:r w:rsidR="002A2999" w:rsidRPr="00AD7A6C">
        <w:rPr>
          <w:rFonts w:ascii="Footlight MT Light" w:hAnsi="Footlight MT Light"/>
          <w:sz w:val="24"/>
          <w:szCs w:val="24"/>
        </w:rPr>
        <w:t xml:space="preserve"> All taxes are collected by the Federal Inland Revenue Service (FIRS).</w:t>
      </w:r>
    </w:p>
    <w:p w14:paraId="4FFFDED4" w14:textId="77777777" w:rsidR="003F0778" w:rsidRPr="003F0778" w:rsidRDefault="003F0778" w:rsidP="006E69D2">
      <w:pPr>
        <w:pStyle w:val="ListParagraph"/>
        <w:numPr>
          <w:ilvl w:val="0"/>
          <w:numId w:val="18"/>
        </w:numPr>
        <w:jc w:val="both"/>
        <w:rPr>
          <w:rFonts w:ascii="Footlight MT Light" w:hAnsi="Footlight MT Light"/>
          <w:sz w:val="24"/>
          <w:szCs w:val="24"/>
        </w:rPr>
      </w:pPr>
      <w:r w:rsidRPr="003F0778">
        <w:rPr>
          <w:rFonts w:ascii="Footlight MT Light" w:hAnsi="Footlight MT Light"/>
          <w:sz w:val="24"/>
          <w:szCs w:val="24"/>
        </w:rPr>
        <w:t>PPT Rate for JV &amp; Sole Risk (Years 1-5): 66.75% of Chargeable Profit</w:t>
      </w:r>
    </w:p>
    <w:p w14:paraId="26145052" w14:textId="77777777" w:rsidR="003F0778" w:rsidRPr="003F0778" w:rsidRDefault="003F0778" w:rsidP="006E69D2">
      <w:pPr>
        <w:pStyle w:val="ListParagraph"/>
        <w:numPr>
          <w:ilvl w:val="0"/>
          <w:numId w:val="18"/>
        </w:numPr>
        <w:jc w:val="both"/>
        <w:rPr>
          <w:rFonts w:ascii="Footlight MT Light" w:hAnsi="Footlight MT Light"/>
          <w:sz w:val="24"/>
          <w:szCs w:val="24"/>
        </w:rPr>
      </w:pPr>
      <w:r w:rsidRPr="003F0778">
        <w:rPr>
          <w:rFonts w:ascii="Footlight MT Light" w:hAnsi="Footlight MT Light"/>
          <w:sz w:val="24"/>
          <w:szCs w:val="24"/>
        </w:rPr>
        <w:t>PPT Rate for JV &amp; Sole Risk (After 5 years): 85% of Chargeable Profit</w:t>
      </w:r>
    </w:p>
    <w:p w14:paraId="745A2371" w14:textId="77777777" w:rsidR="003F0778" w:rsidRPr="003F0778" w:rsidRDefault="003F0778" w:rsidP="006E69D2">
      <w:pPr>
        <w:pStyle w:val="ListParagraph"/>
        <w:numPr>
          <w:ilvl w:val="0"/>
          <w:numId w:val="18"/>
        </w:numPr>
        <w:jc w:val="both"/>
        <w:rPr>
          <w:rFonts w:ascii="Footlight MT Light" w:hAnsi="Footlight MT Light"/>
          <w:sz w:val="24"/>
          <w:szCs w:val="24"/>
        </w:rPr>
      </w:pPr>
      <w:r w:rsidRPr="003F0778">
        <w:rPr>
          <w:rFonts w:ascii="Footlight MT Light" w:hAnsi="Footlight MT Light"/>
          <w:sz w:val="24"/>
          <w:szCs w:val="24"/>
        </w:rPr>
        <w:t>PPT Rate for Companies under Production Sharing: 50% of Chargeable Profit</w:t>
      </w:r>
    </w:p>
    <w:p w14:paraId="410E9518" w14:textId="77777777" w:rsidR="003F0778" w:rsidRPr="00AD7A6C" w:rsidRDefault="003F0778" w:rsidP="006E69D2">
      <w:pPr>
        <w:ind w:left="720"/>
        <w:jc w:val="both"/>
        <w:rPr>
          <w:rFonts w:ascii="Footlight MT Light" w:hAnsi="Footlight MT Light"/>
          <w:sz w:val="24"/>
          <w:szCs w:val="24"/>
        </w:rPr>
      </w:pPr>
      <w:r w:rsidRPr="00AD7A6C">
        <w:rPr>
          <w:rFonts w:ascii="Footlight MT Light" w:hAnsi="Footlight MT Light"/>
          <w:sz w:val="24"/>
          <w:szCs w:val="24"/>
        </w:rPr>
        <w:t>The HT applies to crude oil, condensates, and natural gas liquids produced from associated gas operations. However, the Petroleum Industry Act (PIA) abolished the PPT Acts of 2007 and introduced the Hydrocarbon Tax.</w:t>
      </w:r>
    </w:p>
    <w:p w14:paraId="677A9B0C" w14:textId="77777777" w:rsidR="003F0778" w:rsidRPr="003F0778" w:rsidRDefault="003F0778" w:rsidP="006E69D2">
      <w:pPr>
        <w:pStyle w:val="ListParagraph"/>
        <w:ind w:left="915"/>
        <w:jc w:val="both"/>
        <w:rPr>
          <w:rFonts w:ascii="Footlight MT Light" w:hAnsi="Footlight MT Light"/>
          <w:sz w:val="24"/>
          <w:szCs w:val="24"/>
        </w:rPr>
      </w:pPr>
      <w:r w:rsidRPr="003F0778">
        <w:rPr>
          <w:rFonts w:ascii="Footlight MT Light" w:hAnsi="Footlight MT Light"/>
          <w:sz w:val="24"/>
          <w:szCs w:val="24"/>
        </w:rPr>
        <w:lastRenderedPageBreak/>
        <w:t>Under the PIA, holders of Petroleum Prospecting Licenses (PPL) and Petroleum Mining Leases (PML) are subject to the following hydrocarbon tax rates:</w:t>
      </w:r>
    </w:p>
    <w:p w14:paraId="659B19B0" w14:textId="77777777" w:rsidR="003F0778" w:rsidRPr="003F0778" w:rsidRDefault="003F0778" w:rsidP="006E69D2">
      <w:pPr>
        <w:pStyle w:val="ListParagraph"/>
        <w:numPr>
          <w:ilvl w:val="0"/>
          <w:numId w:val="19"/>
        </w:numPr>
        <w:jc w:val="both"/>
        <w:rPr>
          <w:rFonts w:ascii="Footlight MT Light" w:hAnsi="Footlight MT Light"/>
          <w:sz w:val="24"/>
          <w:szCs w:val="24"/>
        </w:rPr>
      </w:pPr>
      <w:r w:rsidRPr="003F0778">
        <w:rPr>
          <w:rFonts w:ascii="Footlight MT Light" w:hAnsi="Footlight MT Light"/>
          <w:sz w:val="24"/>
          <w:szCs w:val="24"/>
        </w:rPr>
        <w:t>Converted/Renewed Onshore and Shallow Offshore: 30%</w:t>
      </w:r>
    </w:p>
    <w:p w14:paraId="0A355839" w14:textId="77777777" w:rsidR="003F0778" w:rsidRPr="003F0778" w:rsidRDefault="003F0778" w:rsidP="006E69D2">
      <w:pPr>
        <w:pStyle w:val="ListParagraph"/>
        <w:numPr>
          <w:ilvl w:val="0"/>
          <w:numId w:val="19"/>
        </w:numPr>
        <w:jc w:val="both"/>
        <w:rPr>
          <w:rFonts w:ascii="Footlight MT Light" w:hAnsi="Footlight MT Light"/>
          <w:sz w:val="24"/>
          <w:szCs w:val="24"/>
        </w:rPr>
      </w:pPr>
      <w:r w:rsidRPr="003F0778">
        <w:rPr>
          <w:rFonts w:ascii="Footlight MT Light" w:hAnsi="Footlight MT Light"/>
          <w:sz w:val="24"/>
          <w:szCs w:val="24"/>
        </w:rPr>
        <w:t>Onshore, Shallow Onshore (including marginal fields), and Petroleum Prospecting Leases (PPLs): 15%</w:t>
      </w:r>
    </w:p>
    <w:p w14:paraId="358AFD8C" w14:textId="77777777" w:rsidR="007964E3" w:rsidRPr="007964E3" w:rsidRDefault="007964E3" w:rsidP="006E69D2">
      <w:pPr>
        <w:spacing w:after="0"/>
        <w:ind w:firstLine="720"/>
        <w:jc w:val="both"/>
        <w:rPr>
          <w:rFonts w:ascii="Footlight MT Light" w:hAnsi="Footlight MT Light"/>
          <w:sz w:val="24"/>
          <w:szCs w:val="24"/>
        </w:rPr>
      </w:pPr>
      <w:r w:rsidRPr="007964E3">
        <w:rPr>
          <w:rFonts w:ascii="Footlight MT Light" w:hAnsi="Footlight MT Light"/>
          <w:sz w:val="24"/>
          <w:szCs w:val="24"/>
        </w:rPr>
        <w:t>Additionally:</w:t>
      </w:r>
    </w:p>
    <w:p w14:paraId="302DC1AC" w14:textId="77777777" w:rsidR="007964E3" w:rsidRPr="007964E3" w:rsidRDefault="007964E3" w:rsidP="006E69D2">
      <w:pPr>
        <w:numPr>
          <w:ilvl w:val="0"/>
          <w:numId w:val="22"/>
        </w:numPr>
        <w:tabs>
          <w:tab w:val="num" w:pos="720"/>
        </w:tabs>
        <w:spacing w:after="0"/>
        <w:jc w:val="both"/>
        <w:rPr>
          <w:rFonts w:ascii="Footlight MT Light" w:hAnsi="Footlight MT Light"/>
          <w:sz w:val="24"/>
          <w:szCs w:val="24"/>
        </w:rPr>
      </w:pPr>
      <w:r w:rsidRPr="007964E3">
        <w:rPr>
          <w:rFonts w:ascii="Footlight MT Light" w:hAnsi="Footlight MT Light"/>
          <w:sz w:val="24"/>
          <w:szCs w:val="24"/>
        </w:rPr>
        <w:t>Operators in deep water offshore, although exempt from certain taxes, are required to pay a 3% Host Community Development Trust Fund (HCDTF) fee.</w:t>
      </w:r>
    </w:p>
    <w:p w14:paraId="666BA6D8" w14:textId="77777777" w:rsidR="007964E3" w:rsidRPr="007964E3" w:rsidRDefault="007964E3" w:rsidP="006E69D2">
      <w:pPr>
        <w:numPr>
          <w:ilvl w:val="0"/>
          <w:numId w:val="22"/>
        </w:numPr>
        <w:tabs>
          <w:tab w:val="num" w:pos="720"/>
        </w:tabs>
        <w:spacing w:after="0"/>
        <w:jc w:val="both"/>
        <w:rPr>
          <w:rFonts w:ascii="Footlight MT Light" w:hAnsi="Footlight MT Light"/>
          <w:sz w:val="24"/>
          <w:szCs w:val="24"/>
        </w:rPr>
      </w:pPr>
      <w:r w:rsidRPr="007964E3">
        <w:rPr>
          <w:rFonts w:ascii="Footlight MT Light" w:hAnsi="Footlight MT Light"/>
          <w:sz w:val="24"/>
          <w:szCs w:val="24"/>
        </w:rPr>
        <w:t>The PIA allows for the conversion from Oil Prospecting License (OPL) to PPL and from Oil Mining Lease (OML) to PML. Upon conversion, holders of PPL or PML benefit from new fiscal provisions and tax rates specified under the PIA.</w:t>
      </w:r>
    </w:p>
    <w:p w14:paraId="01E269F0" w14:textId="77777777" w:rsidR="002D7C44" w:rsidRPr="00AD7A6C" w:rsidRDefault="002D7C44" w:rsidP="006E69D2">
      <w:pPr>
        <w:spacing w:after="0"/>
        <w:jc w:val="both"/>
        <w:rPr>
          <w:rFonts w:ascii="Footlight MT Light" w:hAnsi="Footlight MT Light"/>
          <w:sz w:val="24"/>
          <w:szCs w:val="24"/>
        </w:rPr>
      </w:pPr>
    </w:p>
    <w:p w14:paraId="53E9094E" w14:textId="77777777" w:rsidR="009A6FF3" w:rsidRPr="00AD7A6C" w:rsidRDefault="007964E3" w:rsidP="006E69D2">
      <w:pPr>
        <w:pStyle w:val="ListParagraph"/>
        <w:numPr>
          <w:ilvl w:val="2"/>
          <w:numId w:val="23"/>
        </w:numPr>
        <w:jc w:val="both"/>
        <w:rPr>
          <w:rFonts w:ascii="Footlight MT Light" w:eastAsia="Calibri" w:hAnsi="Footlight MT Light" w:cs="Calibri"/>
          <w:sz w:val="24"/>
          <w:szCs w:val="24"/>
          <w:lang w:eastAsia="en-US"/>
        </w:rPr>
      </w:pPr>
      <w:r w:rsidRPr="00AD7A6C">
        <w:rPr>
          <w:rFonts w:ascii="Footlight MT Light" w:eastAsia="Gentium Basic" w:hAnsi="Footlight MT Light" w:cs="Calibri"/>
          <w:sz w:val="24"/>
          <w:szCs w:val="24"/>
          <w:lang w:eastAsia="en-US"/>
        </w:rPr>
        <w:t>Value Added Tax (VAT): 7.5% on all minerals sold locally However, minerals exported from Nigeria are zero-rated based on the provision of the VAT Act</w:t>
      </w:r>
    </w:p>
    <w:p w14:paraId="22C5006C" w14:textId="77777777" w:rsidR="009A6FF3" w:rsidRPr="00AD7A6C" w:rsidRDefault="009A6FF3" w:rsidP="006E69D2">
      <w:pPr>
        <w:pStyle w:val="ListParagraph"/>
        <w:jc w:val="both"/>
        <w:rPr>
          <w:rFonts w:ascii="Footlight MT Light" w:eastAsia="Calibri" w:hAnsi="Footlight MT Light" w:cs="Calibri"/>
          <w:sz w:val="24"/>
          <w:szCs w:val="24"/>
          <w:lang w:eastAsia="en-US"/>
        </w:rPr>
      </w:pPr>
    </w:p>
    <w:p w14:paraId="295FAAED" w14:textId="0638F71A" w:rsidR="007964E3" w:rsidRPr="00AD7A6C" w:rsidRDefault="007964E3" w:rsidP="006E69D2">
      <w:pPr>
        <w:pStyle w:val="ListParagraph"/>
        <w:numPr>
          <w:ilvl w:val="2"/>
          <w:numId w:val="23"/>
        </w:numPr>
        <w:jc w:val="both"/>
        <w:rPr>
          <w:rFonts w:ascii="Footlight MT Light" w:eastAsia="Calibri" w:hAnsi="Footlight MT Light" w:cs="Calibri"/>
          <w:sz w:val="24"/>
          <w:szCs w:val="24"/>
          <w:lang w:eastAsia="en-US"/>
        </w:rPr>
      </w:pPr>
      <w:r w:rsidRPr="00AD7A6C">
        <w:rPr>
          <w:rFonts w:ascii="Footlight MT Light" w:eastAsia="Gentium Basic" w:hAnsi="Footlight MT Light" w:cs="Calibri"/>
          <w:sz w:val="24"/>
          <w:szCs w:val="24"/>
          <w:lang w:eastAsia="en-US"/>
        </w:rPr>
        <w:t xml:space="preserve">Company Income Tax (CIT): 30% of taxable profit for companies with turnover above </w:t>
      </w:r>
      <w:r w:rsidRPr="00AD7A6C">
        <w:rPr>
          <w:rFonts w:ascii="Times New Roman" w:eastAsia="Times New Roman" w:hAnsi="Times New Roman" w:cs="Times New Roman"/>
          <w:sz w:val="24"/>
          <w:szCs w:val="24"/>
          <w:lang w:eastAsia="en-US"/>
        </w:rPr>
        <w:t>₦</w:t>
      </w:r>
      <w:r w:rsidRPr="00AD7A6C">
        <w:rPr>
          <w:rFonts w:ascii="Footlight MT Light" w:eastAsia="Gentium Basic" w:hAnsi="Footlight MT Light" w:cs="Calibri"/>
          <w:sz w:val="24"/>
          <w:szCs w:val="24"/>
          <w:lang w:eastAsia="en-US"/>
        </w:rPr>
        <w:t xml:space="preserve">100 million 20% of taxable profit for companies with turnover between </w:t>
      </w:r>
      <w:r w:rsidRPr="00AD7A6C">
        <w:rPr>
          <w:rFonts w:ascii="Times New Roman" w:eastAsia="Times New Roman" w:hAnsi="Times New Roman" w:cs="Times New Roman"/>
          <w:sz w:val="24"/>
          <w:szCs w:val="24"/>
          <w:lang w:eastAsia="en-US"/>
        </w:rPr>
        <w:t>₦</w:t>
      </w:r>
      <w:r w:rsidRPr="00AD7A6C">
        <w:rPr>
          <w:rFonts w:ascii="Footlight MT Light" w:eastAsia="Gentium Basic" w:hAnsi="Footlight MT Light" w:cs="Calibri"/>
          <w:sz w:val="24"/>
          <w:szCs w:val="24"/>
          <w:lang w:eastAsia="en-US"/>
        </w:rPr>
        <w:t xml:space="preserve">25 and </w:t>
      </w:r>
      <w:r w:rsidRPr="00AD7A6C">
        <w:rPr>
          <w:rFonts w:ascii="Times New Roman" w:eastAsia="Times New Roman" w:hAnsi="Times New Roman" w:cs="Times New Roman"/>
          <w:sz w:val="24"/>
          <w:szCs w:val="24"/>
          <w:lang w:eastAsia="en-US"/>
        </w:rPr>
        <w:t>₦</w:t>
      </w:r>
      <w:r w:rsidRPr="00AD7A6C">
        <w:rPr>
          <w:rFonts w:ascii="Footlight MT Light" w:eastAsia="Gentium Basic" w:hAnsi="Footlight MT Light" w:cs="Calibri"/>
          <w:sz w:val="24"/>
          <w:szCs w:val="24"/>
          <w:lang w:eastAsia="en-US"/>
        </w:rPr>
        <w:t xml:space="preserve">100 million 0% for companies with turnover less than </w:t>
      </w:r>
      <w:r w:rsidRPr="00AD7A6C">
        <w:rPr>
          <w:rFonts w:ascii="Times New Roman" w:eastAsia="Times New Roman" w:hAnsi="Times New Roman" w:cs="Times New Roman"/>
          <w:sz w:val="24"/>
          <w:szCs w:val="24"/>
          <w:lang w:eastAsia="en-US"/>
        </w:rPr>
        <w:t>₦</w:t>
      </w:r>
      <w:r w:rsidRPr="00AD7A6C">
        <w:rPr>
          <w:rFonts w:ascii="Footlight MT Light" w:eastAsia="Gentium Basic" w:hAnsi="Footlight MT Light" w:cs="Calibri"/>
          <w:sz w:val="24"/>
          <w:szCs w:val="24"/>
          <w:lang w:eastAsia="en-US"/>
        </w:rPr>
        <w:t>25 million</w:t>
      </w:r>
    </w:p>
    <w:p w14:paraId="562CFCB8" w14:textId="49A4D300" w:rsidR="007964E3" w:rsidRPr="00AD7A6C" w:rsidRDefault="009A6FF3" w:rsidP="006E69D2">
      <w:pPr>
        <w:ind w:left="720" w:hanging="720"/>
        <w:jc w:val="both"/>
        <w:rPr>
          <w:rFonts w:ascii="Footlight MT Light" w:eastAsia="Calibri" w:hAnsi="Footlight MT Light" w:cs="Calibri"/>
          <w:sz w:val="24"/>
          <w:szCs w:val="24"/>
          <w:lang w:eastAsia="en-US"/>
        </w:rPr>
      </w:pPr>
      <w:r w:rsidRPr="00AD7A6C">
        <w:rPr>
          <w:rFonts w:ascii="Footlight MT Light" w:eastAsia="Times New Roman" w:hAnsi="Footlight MT Light" w:cs="Times New Roman"/>
          <w:kern w:val="0"/>
          <w:sz w:val="24"/>
          <w:szCs w:val="24"/>
          <w14:ligatures w14:val="none"/>
        </w:rPr>
        <w:t>4.2.4</w:t>
      </w:r>
      <w:r w:rsidRPr="00AD7A6C">
        <w:rPr>
          <w:rFonts w:ascii="Footlight MT Light" w:eastAsia="Times New Roman" w:hAnsi="Footlight MT Light" w:cs="Times New Roman"/>
          <w:kern w:val="0"/>
          <w:sz w:val="24"/>
          <w:szCs w:val="24"/>
          <w14:ligatures w14:val="none"/>
        </w:rPr>
        <w:tab/>
      </w:r>
      <w:r w:rsidR="007964E3" w:rsidRPr="00AD7A6C">
        <w:rPr>
          <w:rFonts w:ascii="Footlight MT Light" w:eastAsia="Gentium Basic" w:hAnsi="Footlight MT Light" w:cs="Calibri"/>
          <w:sz w:val="24"/>
          <w:szCs w:val="24"/>
          <w:lang w:eastAsia="en-US"/>
        </w:rPr>
        <w:t xml:space="preserve">Education Tax (EDT): 2.5% of assessable profit on companies with turnover of </w:t>
      </w:r>
      <w:r w:rsidR="007964E3" w:rsidRPr="00AD7A6C">
        <w:rPr>
          <w:rFonts w:ascii="Times New Roman" w:eastAsia="Times New Roman" w:hAnsi="Times New Roman" w:cs="Times New Roman"/>
          <w:sz w:val="24"/>
          <w:szCs w:val="24"/>
          <w:lang w:eastAsia="en-US"/>
        </w:rPr>
        <w:t>₦</w:t>
      </w:r>
      <w:r w:rsidR="007964E3" w:rsidRPr="00AD7A6C">
        <w:rPr>
          <w:rFonts w:ascii="Footlight MT Light" w:eastAsia="Gentium Basic" w:hAnsi="Footlight MT Light" w:cs="Calibri"/>
          <w:sz w:val="24"/>
          <w:szCs w:val="24"/>
          <w:lang w:eastAsia="en-US"/>
        </w:rPr>
        <w:t>25 million and above.</w:t>
      </w:r>
      <w:r w:rsidR="002A2999" w:rsidRPr="00AD7A6C">
        <w:rPr>
          <w:rFonts w:ascii="Footlight MT Light" w:hAnsi="Footlight MT Light"/>
          <w:sz w:val="24"/>
          <w:szCs w:val="24"/>
        </w:rPr>
        <w:t xml:space="preserve"> </w:t>
      </w:r>
      <w:r w:rsidR="002A2999" w:rsidRPr="00AD7A6C">
        <w:rPr>
          <w:rFonts w:ascii="Footlight MT Light" w:eastAsia="Gentium Basic" w:hAnsi="Footlight MT Light" w:cs="Calibri"/>
          <w:sz w:val="24"/>
          <w:szCs w:val="24"/>
          <w:lang w:eastAsia="en-US"/>
        </w:rPr>
        <w:t xml:space="preserve">This payment is collected by the FIRS and remitted to the Tertiary Education Trust Fund (TETFUND). All oil companies are given a 3% tax rate according to the Nigerian Finance 1Act 2023 (as amended). </w:t>
      </w:r>
    </w:p>
    <w:p w14:paraId="16E808A5" w14:textId="7AA13C87" w:rsidR="007964E3" w:rsidRPr="00AD7A6C" w:rsidRDefault="007964E3" w:rsidP="006E69D2">
      <w:pPr>
        <w:pStyle w:val="ListParagraph"/>
        <w:numPr>
          <w:ilvl w:val="2"/>
          <w:numId w:val="25"/>
        </w:numPr>
        <w:jc w:val="both"/>
        <w:rPr>
          <w:rFonts w:ascii="Footlight MT Light" w:eastAsia="Calibri" w:hAnsi="Footlight MT Light" w:cs="Calibri"/>
          <w:sz w:val="24"/>
          <w:szCs w:val="24"/>
          <w:lang w:eastAsia="en-US"/>
        </w:rPr>
      </w:pPr>
      <w:r w:rsidRPr="00AD7A6C">
        <w:rPr>
          <w:rFonts w:ascii="Footlight MT Light" w:eastAsia="Gentium Basic" w:hAnsi="Footlight MT Light" w:cs="Calibri"/>
          <w:sz w:val="24"/>
          <w:szCs w:val="24"/>
          <w:lang w:eastAsia="en-US"/>
        </w:rPr>
        <w:t>Stamp duties: 0.75% on authorized share capital of a company at incorporation or registration of new shares Fixed rate or a percentage of the transaction/instrument value</w:t>
      </w:r>
    </w:p>
    <w:p w14:paraId="5EA067B3" w14:textId="4F536D36" w:rsidR="007964E3" w:rsidRPr="00AD7A6C" w:rsidRDefault="007964E3" w:rsidP="006E69D2">
      <w:pPr>
        <w:pStyle w:val="ListParagraph"/>
        <w:numPr>
          <w:ilvl w:val="2"/>
          <w:numId w:val="25"/>
        </w:numPr>
        <w:jc w:val="both"/>
        <w:rPr>
          <w:rFonts w:ascii="Footlight MT Light" w:eastAsia="Calibri" w:hAnsi="Footlight MT Light" w:cs="Calibri"/>
          <w:sz w:val="24"/>
          <w:szCs w:val="24"/>
          <w:lang w:eastAsia="en-US"/>
        </w:rPr>
      </w:pPr>
      <w:r w:rsidRPr="00AD7A6C">
        <w:rPr>
          <w:rFonts w:ascii="Footlight MT Light" w:eastAsia="Gentium Basic" w:hAnsi="Footlight MT Light" w:cs="Calibri"/>
          <w:sz w:val="24"/>
          <w:szCs w:val="24"/>
          <w:lang w:eastAsia="en-US"/>
        </w:rPr>
        <w:t>Capital gain tax: 10% on gains accruing on the disposal of chargeable assets irrespective of whether or not the asset is situated in Nigeria</w:t>
      </w:r>
      <w:r w:rsidR="009A6FF3" w:rsidRPr="00AD7A6C">
        <w:rPr>
          <w:rFonts w:ascii="Footlight MT Light" w:eastAsia="Gentium Basic" w:hAnsi="Footlight MT Light" w:cs="Calibri"/>
          <w:sz w:val="24"/>
          <w:szCs w:val="24"/>
          <w:lang w:eastAsia="en-US"/>
        </w:rPr>
        <w:t>.</w:t>
      </w:r>
    </w:p>
    <w:p w14:paraId="6079298E" w14:textId="39FA386C" w:rsidR="00843F16" w:rsidRPr="00AD7A6C" w:rsidRDefault="007964E3" w:rsidP="006E69D2">
      <w:pPr>
        <w:pStyle w:val="ListParagraph"/>
        <w:numPr>
          <w:ilvl w:val="2"/>
          <w:numId w:val="25"/>
        </w:numPr>
        <w:spacing w:after="0"/>
        <w:jc w:val="both"/>
        <w:rPr>
          <w:rFonts w:ascii="Footlight MT Light" w:eastAsia="Gentium Basic" w:hAnsi="Footlight MT Light" w:cs="Calibri"/>
          <w:sz w:val="24"/>
          <w:szCs w:val="24"/>
          <w:lang w:eastAsia="en-US"/>
        </w:rPr>
      </w:pPr>
      <w:r w:rsidRPr="00AD7A6C">
        <w:rPr>
          <w:rFonts w:ascii="Footlight MT Light" w:eastAsia="Gentium Basic" w:hAnsi="Footlight MT Light" w:cs="Calibri"/>
          <w:sz w:val="24"/>
          <w:szCs w:val="24"/>
          <w:lang w:eastAsia="en-US"/>
        </w:rPr>
        <w:t>Personal income tax: 7% – 24% of taxable income of individuals and partnerships</w:t>
      </w:r>
      <w:r w:rsidR="009A6FF3" w:rsidRPr="00AD7A6C">
        <w:rPr>
          <w:rFonts w:ascii="Footlight MT Light" w:eastAsia="Gentium Basic" w:hAnsi="Footlight MT Light" w:cs="Calibri"/>
          <w:sz w:val="24"/>
          <w:szCs w:val="24"/>
          <w:lang w:eastAsia="en-US"/>
        </w:rPr>
        <w:t>.</w:t>
      </w:r>
    </w:p>
    <w:p w14:paraId="000C81AF" w14:textId="2D2D3295" w:rsidR="009A6FF3" w:rsidRPr="00AD7A6C" w:rsidRDefault="009A6FF3" w:rsidP="006E69D2">
      <w:pPr>
        <w:pStyle w:val="ListParagraph"/>
        <w:numPr>
          <w:ilvl w:val="2"/>
          <w:numId w:val="25"/>
        </w:numPr>
        <w:spacing w:after="0"/>
        <w:jc w:val="both"/>
        <w:rPr>
          <w:rFonts w:ascii="Footlight MT Light" w:hAnsi="Footlight MT Light"/>
          <w:sz w:val="24"/>
          <w:szCs w:val="24"/>
        </w:rPr>
      </w:pPr>
      <w:r w:rsidRPr="00AD7A6C">
        <w:rPr>
          <w:rFonts w:ascii="Footlight MT Light" w:hAnsi="Footlight MT Light"/>
          <w:sz w:val="24"/>
          <w:szCs w:val="24"/>
        </w:rPr>
        <w:t>CGT is a tax levied on profit from the sale of property/assets or an investment. It is governed by Capital Gains Tax Act, Cap C1 LFN 2004 (as amended).</w:t>
      </w:r>
    </w:p>
    <w:p w14:paraId="76847F03" w14:textId="3869659F" w:rsidR="002A2999" w:rsidRPr="00AD7A6C" w:rsidRDefault="002A2999" w:rsidP="006E69D2">
      <w:pPr>
        <w:pStyle w:val="ListParagraph"/>
        <w:numPr>
          <w:ilvl w:val="2"/>
          <w:numId w:val="25"/>
        </w:numPr>
        <w:spacing w:after="0"/>
        <w:jc w:val="both"/>
        <w:rPr>
          <w:rFonts w:ascii="Footlight MT Light" w:hAnsi="Footlight MT Light"/>
          <w:sz w:val="24"/>
          <w:szCs w:val="24"/>
        </w:rPr>
      </w:pPr>
      <w:r w:rsidRPr="00AD7A6C">
        <w:rPr>
          <w:rFonts w:ascii="Footlight MT Light" w:hAnsi="Footlight MT Light"/>
          <w:sz w:val="24"/>
          <w:szCs w:val="24"/>
        </w:rPr>
        <w:t>Withholding Tax is income tax paid in advance, WHT is deducted at varying rates ranging from 5% to 10% depending on the transaction</w:t>
      </w:r>
      <w:r w:rsidR="00767731" w:rsidRPr="00AD7A6C">
        <w:rPr>
          <w:rFonts w:ascii="Footlight MT Light" w:hAnsi="Footlight MT Light"/>
          <w:sz w:val="24"/>
          <w:szCs w:val="24"/>
        </w:rPr>
        <w:t>.</w:t>
      </w:r>
    </w:p>
    <w:p w14:paraId="3C98606D" w14:textId="77777777" w:rsidR="002D7C44" w:rsidRPr="00AD7A6C" w:rsidRDefault="002D7C44" w:rsidP="006E69D2">
      <w:pPr>
        <w:spacing w:after="0"/>
        <w:jc w:val="both"/>
        <w:rPr>
          <w:rFonts w:ascii="Footlight MT Light" w:hAnsi="Footlight MT Light"/>
          <w:sz w:val="24"/>
          <w:szCs w:val="24"/>
        </w:rPr>
      </w:pPr>
    </w:p>
    <w:p w14:paraId="78E7F361" w14:textId="14F7F3B3" w:rsidR="002D7C44" w:rsidRPr="00AD7A6C" w:rsidRDefault="002A2999" w:rsidP="006E69D2">
      <w:pPr>
        <w:spacing w:after="0"/>
        <w:jc w:val="both"/>
        <w:rPr>
          <w:rFonts w:ascii="Footlight MT Light" w:hAnsi="Footlight MT Light"/>
          <w:sz w:val="24"/>
          <w:szCs w:val="24"/>
        </w:rPr>
      </w:pPr>
      <w:r w:rsidRPr="00AD7A6C">
        <w:rPr>
          <w:rFonts w:ascii="Footlight MT Light" w:hAnsi="Footlight MT Light"/>
          <w:b/>
          <w:bCs/>
          <w:sz w:val="24"/>
          <w:szCs w:val="24"/>
        </w:rPr>
        <w:t>4.3</w:t>
      </w:r>
      <w:r w:rsidRPr="00AD7A6C">
        <w:rPr>
          <w:rFonts w:ascii="Footlight MT Light" w:hAnsi="Footlight MT Light"/>
          <w:b/>
          <w:bCs/>
          <w:sz w:val="24"/>
          <w:szCs w:val="24"/>
        </w:rPr>
        <w:tab/>
        <w:t xml:space="preserve">NDDC 3% Levy: </w:t>
      </w:r>
    </w:p>
    <w:p w14:paraId="79993AC7" w14:textId="294F9D4F" w:rsidR="002A2999" w:rsidRPr="00AD7A6C" w:rsidRDefault="002A2999" w:rsidP="006E69D2">
      <w:pPr>
        <w:ind w:left="720"/>
        <w:jc w:val="both"/>
        <w:rPr>
          <w:rFonts w:ascii="Footlight MT Light" w:hAnsi="Footlight MT Light"/>
          <w:sz w:val="24"/>
          <w:szCs w:val="24"/>
        </w:rPr>
      </w:pPr>
      <w:r w:rsidRPr="00AD7A6C">
        <w:rPr>
          <w:rFonts w:ascii="Footlight MT Light" w:hAnsi="Footlight MT Light"/>
          <w:sz w:val="24"/>
          <w:szCs w:val="24"/>
        </w:rPr>
        <w:t>A mandatory social contribution levied on companies operating in the oil and gas sector. 3% on total annual budget of Oil producing (including gas processing) companies operating in the Niger-Delta is remitted to Niger Delta Development Commission (NDDC).</w:t>
      </w:r>
    </w:p>
    <w:p w14:paraId="0180ED41" w14:textId="71253C62" w:rsidR="002D7C44" w:rsidRPr="00AD7A6C" w:rsidRDefault="002A2999" w:rsidP="006E69D2">
      <w:pPr>
        <w:spacing w:after="0"/>
        <w:jc w:val="both"/>
        <w:rPr>
          <w:rFonts w:ascii="Footlight MT Light" w:hAnsi="Footlight MT Light"/>
          <w:b/>
          <w:bCs/>
          <w:sz w:val="24"/>
          <w:szCs w:val="24"/>
        </w:rPr>
      </w:pPr>
      <w:r w:rsidRPr="00AD7A6C">
        <w:rPr>
          <w:rFonts w:ascii="Footlight MT Light" w:hAnsi="Footlight MT Light"/>
          <w:b/>
          <w:bCs/>
          <w:sz w:val="24"/>
          <w:szCs w:val="24"/>
        </w:rPr>
        <w:t>4.4</w:t>
      </w:r>
      <w:r w:rsidRPr="00AD7A6C">
        <w:rPr>
          <w:rFonts w:ascii="Footlight MT Light" w:hAnsi="Footlight MT Light"/>
          <w:b/>
          <w:bCs/>
          <w:sz w:val="24"/>
          <w:szCs w:val="24"/>
        </w:rPr>
        <w:tab/>
        <w:t>NCDMB 1% Levy:</w:t>
      </w:r>
    </w:p>
    <w:p w14:paraId="7610F2F5" w14:textId="30819B9F" w:rsidR="002D7C44" w:rsidRPr="00AD7A6C" w:rsidRDefault="002A2999" w:rsidP="006E69D2">
      <w:pPr>
        <w:spacing w:after="0"/>
        <w:ind w:left="720"/>
        <w:jc w:val="both"/>
        <w:rPr>
          <w:rFonts w:ascii="Footlight MT Light" w:hAnsi="Footlight MT Light"/>
          <w:sz w:val="24"/>
          <w:szCs w:val="24"/>
        </w:rPr>
      </w:pPr>
      <w:r w:rsidRPr="00AD7A6C">
        <w:rPr>
          <w:rFonts w:ascii="Footlight MT Light" w:hAnsi="Footlight MT Light"/>
          <w:sz w:val="24"/>
          <w:szCs w:val="24"/>
        </w:rPr>
        <w:t>This is a levy imposed on all contracts in the upstream sector, to develop Nigerian Content in the Nigerian Oil and Gas Industry. That is 1% on total contract value in any project or transaction in the upstream sector of the Nigerian Oil and gas Industry.</w:t>
      </w:r>
    </w:p>
    <w:p w14:paraId="5FA09504" w14:textId="77777777" w:rsidR="00796C8D" w:rsidRPr="00AD7A6C" w:rsidRDefault="00796C8D" w:rsidP="006E69D2">
      <w:pPr>
        <w:spacing w:after="0"/>
        <w:ind w:left="720"/>
        <w:jc w:val="both"/>
        <w:rPr>
          <w:rFonts w:ascii="Footlight MT Light" w:hAnsi="Footlight MT Light"/>
          <w:sz w:val="24"/>
          <w:szCs w:val="24"/>
        </w:rPr>
      </w:pPr>
    </w:p>
    <w:p w14:paraId="3FF9E6B0" w14:textId="1A33D31E" w:rsidR="00796C8D" w:rsidRPr="00AD7A6C" w:rsidRDefault="00796C8D" w:rsidP="006E69D2">
      <w:pPr>
        <w:spacing w:after="0"/>
        <w:jc w:val="both"/>
        <w:rPr>
          <w:rFonts w:ascii="Footlight MT Light" w:hAnsi="Footlight MT Light"/>
          <w:b/>
          <w:bCs/>
          <w:sz w:val="24"/>
          <w:szCs w:val="24"/>
        </w:rPr>
      </w:pPr>
      <w:r w:rsidRPr="00AD7A6C">
        <w:rPr>
          <w:rFonts w:ascii="Footlight MT Light" w:hAnsi="Footlight MT Light"/>
          <w:b/>
          <w:bCs/>
          <w:sz w:val="24"/>
          <w:szCs w:val="24"/>
        </w:rPr>
        <w:t>4.5</w:t>
      </w:r>
      <w:r w:rsidRPr="00AD7A6C">
        <w:rPr>
          <w:rFonts w:ascii="Footlight MT Light" w:hAnsi="Footlight MT Light"/>
          <w:b/>
          <w:bCs/>
          <w:sz w:val="24"/>
          <w:szCs w:val="24"/>
        </w:rPr>
        <w:tab/>
      </w:r>
      <w:r w:rsidR="00C55BE9" w:rsidRPr="00AD7A6C">
        <w:rPr>
          <w:rFonts w:ascii="Footlight MT Light" w:hAnsi="Footlight MT Light"/>
          <w:b/>
          <w:bCs/>
          <w:sz w:val="24"/>
          <w:szCs w:val="24"/>
        </w:rPr>
        <w:t>Mining rents, premium and fees:</w:t>
      </w:r>
      <w:r w:rsidR="004F7F64" w:rsidRPr="00AD7A6C">
        <w:rPr>
          <w:rFonts w:ascii="Footlight MT Light" w:hAnsi="Footlight MT Light"/>
          <w:b/>
          <w:bCs/>
          <w:sz w:val="24"/>
          <w:szCs w:val="24"/>
        </w:rPr>
        <w:t xml:space="preserve"> M</w:t>
      </w:r>
      <w:r w:rsidR="00E90508" w:rsidRPr="00AD7A6C">
        <w:rPr>
          <w:rFonts w:ascii="Footlight MT Light" w:hAnsi="Footlight MT Light"/>
          <w:b/>
          <w:bCs/>
          <w:sz w:val="24"/>
          <w:szCs w:val="24"/>
        </w:rPr>
        <w:t xml:space="preserve">ID &amp; </w:t>
      </w:r>
      <w:r w:rsidR="004F7F64" w:rsidRPr="00AD7A6C">
        <w:rPr>
          <w:rFonts w:ascii="Footlight MT Light" w:hAnsi="Footlight MT Light"/>
          <w:b/>
          <w:bCs/>
          <w:sz w:val="24"/>
          <w:szCs w:val="24"/>
        </w:rPr>
        <w:t>MCO</w:t>
      </w:r>
    </w:p>
    <w:p w14:paraId="2053DE6A" w14:textId="77777777" w:rsidR="00796C8D" w:rsidRPr="00AD7A6C" w:rsidRDefault="00796C8D" w:rsidP="006E69D2">
      <w:pPr>
        <w:spacing w:after="0"/>
        <w:ind w:left="720"/>
        <w:jc w:val="both"/>
        <w:rPr>
          <w:rFonts w:ascii="Footlight MT Light" w:hAnsi="Footlight MT Light"/>
          <w:sz w:val="24"/>
          <w:szCs w:val="24"/>
        </w:rPr>
      </w:pPr>
    </w:p>
    <w:p w14:paraId="7A83A9BC" w14:textId="77777777"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w:t>
      </w:r>
      <w:r w:rsidRPr="00AD7A6C">
        <w:rPr>
          <w:rFonts w:ascii="Footlight MT Light" w:hAnsi="Footlight MT Light"/>
          <w:sz w:val="24"/>
          <w:szCs w:val="24"/>
        </w:rPr>
        <w:tab/>
        <w:t xml:space="preserve">Annual service fee is paid at a fixed rate per cadastre unit as set out in Schedule 1 of Nigerian Minerals and Mining Regulations 2011. The fee is due on the anniversary </w:t>
      </w:r>
      <w:r w:rsidRPr="00AD7A6C">
        <w:rPr>
          <w:rFonts w:ascii="Footlight MT Light" w:hAnsi="Footlight MT Light"/>
          <w:sz w:val="24"/>
          <w:szCs w:val="24"/>
        </w:rPr>
        <w:lastRenderedPageBreak/>
        <w:t>of grant of the title. Title holders other than holders of RP are required to pay annual service fees.</w:t>
      </w:r>
    </w:p>
    <w:p w14:paraId="28139818" w14:textId="77777777" w:rsidR="00C55BE9" w:rsidRPr="00AD7A6C" w:rsidRDefault="00C55BE9" w:rsidP="006E69D2">
      <w:pPr>
        <w:spacing w:after="0"/>
        <w:jc w:val="both"/>
        <w:rPr>
          <w:rFonts w:ascii="Footlight MT Light" w:hAnsi="Footlight MT Light"/>
          <w:sz w:val="24"/>
          <w:szCs w:val="24"/>
        </w:rPr>
      </w:pPr>
    </w:p>
    <w:p w14:paraId="12BEA1DF" w14:textId="50B97DC1"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4.5.2</w:t>
      </w:r>
      <w:r w:rsidRPr="00AD7A6C">
        <w:rPr>
          <w:rFonts w:ascii="Footlight MT Light" w:hAnsi="Footlight MT Light"/>
          <w:sz w:val="24"/>
          <w:szCs w:val="24"/>
        </w:rPr>
        <w:tab/>
        <w:t>Application processing fee APF is payment required of intending miners who seek for titles within Nigeria. This non-refundable fee is for the processing of their license applications.</w:t>
      </w:r>
    </w:p>
    <w:p w14:paraId="365490A0" w14:textId="77777777" w:rsidR="00C55BE9" w:rsidRPr="00AD7A6C" w:rsidRDefault="00C55BE9" w:rsidP="006E69D2">
      <w:pPr>
        <w:spacing w:after="0"/>
        <w:jc w:val="both"/>
        <w:rPr>
          <w:rFonts w:ascii="Footlight MT Light" w:hAnsi="Footlight MT Light"/>
          <w:sz w:val="24"/>
          <w:szCs w:val="24"/>
        </w:rPr>
      </w:pPr>
    </w:p>
    <w:p w14:paraId="653D0ED5" w14:textId="69B066AB"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4.5.3</w:t>
      </w:r>
      <w:r w:rsidRPr="00AD7A6C">
        <w:rPr>
          <w:rFonts w:ascii="Footlight MT Light" w:hAnsi="Footlight MT Light"/>
          <w:sz w:val="24"/>
          <w:szCs w:val="24"/>
        </w:rPr>
        <w:tab/>
        <w:t>Processing of renewal application: Renewals of Titles by solid minerals companies are subject to a tax in accordance with Section 25(c) of the Minerals and Mining Regulations, 2011.</w:t>
      </w:r>
    </w:p>
    <w:p w14:paraId="726EF0DF" w14:textId="77777777" w:rsidR="00C55BE9" w:rsidRPr="00AD7A6C" w:rsidRDefault="00C55BE9" w:rsidP="006E69D2">
      <w:pPr>
        <w:spacing w:after="0"/>
        <w:jc w:val="both"/>
        <w:rPr>
          <w:rFonts w:ascii="Footlight MT Light" w:hAnsi="Footlight MT Light"/>
          <w:sz w:val="24"/>
          <w:szCs w:val="24"/>
        </w:rPr>
      </w:pPr>
    </w:p>
    <w:p w14:paraId="251B7FA4" w14:textId="76ECAE23"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4.5.4</w:t>
      </w:r>
      <w:r w:rsidRPr="00AD7A6C">
        <w:rPr>
          <w:rFonts w:ascii="Footlight MT Light" w:hAnsi="Footlight MT Light"/>
          <w:sz w:val="24"/>
          <w:szCs w:val="24"/>
        </w:rPr>
        <w:tab/>
        <w:t>Penalty fee for late renewal of mining titles: It is expected that every solid mineral company renews their license within a certain period dictated by the mining regulations.</w:t>
      </w:r>
    </w:p>
    <w:p w14:paraId="2AFC8E52" w14:textId="77777777" w:rsidR="00C55BE9" w:rsidRPr="00AD7A6C" w:rsidRDefault="00C55BE9" w:rsidP="006E69D2">
      <w:pPr>
        <w:spacing w:after="0"/>
        <w:jc w:val="both"/>
        <w:rPr>
          <w:rFonts w:ascii="Footlight MT Light" w:hAnsi="Footlight MT Light"/>
          <w:sz w:val="24"/>
          <w:szCs w:val="24"/>
        </w:rPr>
      </w:pPr>
    </w:p>
    <w:p w14:paraId="35ECAE2A" w14:textId="2FB0709E"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4.5.5</w:t>
      </w:r>
      <w:r w:rsidRPr="00AD7A6C">
        <w:rPr>
          <w:rFonts w:ascii="Footlight MT Light" w:hAnsi="Footlight MT Light"/>
          <w:sz w:val="24"/>
          <w:szCs w:val="24"/>
        </w:rPr>
        <w:tab/>
        <w:t>Application for enlargement (processing) of mining title fees: This payment is made by mining companies wishing to expand their mining operations</w:t>
      </w:r>
    </w:p>
    <w:p w14:paraId="53E25AF2" w14:textId="77777777" w:rsidR="00C55BE9" w:rsidRPr="00AD7A6C" w:rsidRDefault="00C55BE9" w:rsidP="006E69D2">
      <w:pPr>
        <w:spacing w:after="0"/>
        <w:jc w:val="both"/>
        <w:rPr>
          <w:rFonts w:ascii="Footlight MT Light" w:hAnsi="Footlight MT Light"/>
          <w:sz w:val="24"/>
          <w:szCs w:val="24"/>
        </w:rPr>
      </w:pPr>
    </w:p>
    <w:p w14:paraId="2DC7E004" w14:textId="675EFF1A"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4.5.6</w:t>
      </w:r>
      <w:r w:rsidRPr="00AD7A6C">
        <w:rPr>
          <w:rFonts w:ascii="Footlight MT Light" w:hAnsi="Footlight MT Light"/>
          <w:sz w:val="24"/>
          <w:szCs w:val="24"/>
        </w:rPr>
        <w:tab/>
        <w:t>Application for relinquishment of mining title fees: This fee is paid by any mining company that wishes to relinquish its mining titles.</w:t>
      </w:r>
    </w:p>
    <w:p w14:paraId="67E9B4B8" w14:textId="5738CF73" w:rsidR="00C55BE9" w:rsidRPr="00AD7A6C" w:rsidRDefault="00C55BE9" w:rsidP="006E69D2">
      <w:pPr>
        <w:spacing w:after="0"/>
        <w:jc w:val="both"/>
        <w:rPr>
          <w:rFonts w:ascii="Footlight MT Light" w:hAnsi="Footlight MT Light"/>
          <w:sz w:val="24"/>
          <w:szCs w:val="24"/>
        </w:rPr>
      </w:pPr>
      <w:r w:rsidRPr="00AD7A6C">
        <w:rPr>
          <w:rFonts w:ascii="Footlight MT Light" w:hAnsi="Footlight MT Light"/>
          <w:sz w:val="24"/>
          <w:szCs w:val="24"/>
        </w:rPr>
        <w:tab/>
      </w:r>
    </w:p>
    <w:p w14:paraId="0BC6EAB0" w14:textId="79BBA410"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4.5.7</w:t>
      </w:r>
      <w:r w:rsidRPr="00AD7A6C">
        <w:rPr>
          <w:rFonts w:ascii="Footlight MT Light" w:hAnsi="Footlight MT Light"/>
          <w:sz w:val="24"/>
          <w:szCs w:val="24"/>
        </w:rPr>
        <w:tab/>
        <w:t>Application for transfer of mining title fees: This fee is paid by any mining company that wishes to transfer a title from one party to another.</w:t>
      </w:r>
    </w:p>
    <w:p w14:paraId="69260E5E" w14:textId="77777777" w:rsidR="00C55BE9" w:rsidRPr="00AD7A6C" w:rsidRDefault="00C55BE9" w:rsidP="006E69D2">
      <w:pPr>
        <w:spacing w:after="0"/>
        <w:jc w:val="both"/>
        <w:rPr>
          <w:rFonts w:ascii="Footlight MT Light" w:hAnsi="Footlight MT Light"/>
          <w:sz w:val="24"/>
          <w:szCs w:val="24"/>
        </w:rPr>
      </w:pPr>
    </w:p>
    <w:p w14:paraId="74022155" w14:textId="6CD49E5E"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4.5.8</w:t>
      </w:r>
      <w:r w:rsidRPr="00AD7A6C">
        <w:rPr>
          <w:rFonts w:ascii="Footlight MT Light" w:hAnsi="Footlight MT Light"/>
          <w:sz w:val="24"/>
          <w:szCs w:val="24"/>
        </w:rPr>
        <w:tab/>
        <w:t>Application for surrender mining title fees: This is a fee paid by a mining company that wishes to surrender its Mining Lease License, Small Scale Mining License, Mining Lease and Quarry Lease.</w:t>
      </w:r>
    </w:p>
    <w:p w14:paraId="10C5BD62" w14:textId="77777777" w:rsidR="00C55BE9" w:rsidRPr="00AD7A6C" w:rsidRDefault="00C55BE9" w:rsidP="006E69D2">
      <w:pPr>
        <w:spacing w:after="0"/>
        <w:jc w:val="both"/>
        <w:rPr>
          <w:rFonts w:ascii="Footlight MT Light" w:hAnsi="Footlight MT Light"/>
          <w:sz w:val="24"/>
          <w:szCs w:val="24"/>
        </w:rPr>
      </w:pPr>
    </w:p>
    <w:p w14:paraId="0CFF03B0" w14:textId="5A93C2D9"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4.5.9</w:t>
      </w:r>
      <w:r w:rsidRPr="00AD7A6C">
        <w:rPr>
          <w:rFonts w:ascii="Footlight MT Light" w:hAnsi="Footlight MT Light"/>
          <w:sz w:val="24"/>
          <w:szCs w:val="24"/>
        </w:rPr>
        <w:tab/>
        <w:t>Application for Consolidation Mining Titles Fees: This payment is made by companies that want to merge their mining licenses and rights.</w:t>
      </w:r>
    </w:p>
    <w:p w14:paraId="2E3D3B6C" w14:textId="77777777" w:rsidR="00C55BE9" w:rsidRPr="00AD7A6C" w:rsidRDefault="00C55BE9" w:rsidP="006E69D2">
      <w:pPr>
        <w:spacing w:after="0"/>
        <w:jc w:val="both"/>
        <w:rPr>
          <w:rFonts w:ascii="Footlight MT Light" w:hAnsi="Footlight MT Light"/>
          <w:sz w:val="24"/>
          <w:szCs w:val="24"/>
        </w:rPr>
      </w:pPr>
    </w:p>
    <w:p w14:paraId="7E1D78D2" w14:textId="651F42C7"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4.5.10</w:t>
      </w:r>
      <w:r w:rsidRPr="00AD7A6C">
        <w:rPr>
          <w:rFonts w:ascii="Footlight MT Light" w:hAnsi="Footlight MT Light"/>
          <w:sz w:val="24"/>
          <w:szCs w:val="24"/>
        </w:rPr>
        <w:tab/>
        <w:t>Application to Endorse an Additional Mineral: This is a fee for mining companies wishing to add another mineral to their exploration</w:t>
      </w:r>
    </w:p>
    <w:p w14:paraId="4BB10148" w14:textId="77777777" w:rsidR="00C55BE9" w:rsidRPr="00AD7A6C" w:rsidRDefault="00C55BE9" w:rsidP="006E69D2">
      <w:pPr>
        <w:spacing w:after="0"/>
        <w:jc w:val="both"/>
        <w:rPr>
          <w:rFonts w:ascii="Footlight MT Light" w:hAnsi="Footlight MT Light"/>
          <w:sz w:val="24"/>
          <w:szCs w:val="24"/>
        </w:rPr>
      </w:pPr>
    </w:p>
    <w:p w14:paraId="608AFDB2" w14:textId="75A9911B" w:rsidR="00C55BE9" w:rsidRPr="00AD7A6C" w:rsidRDefault="00C55BE9" w:rsidP="006E69D2">
      <w:pPr>
        <w:spacing w:after="0"/>
        <w:jc w:val="both"/>
        <w:rPr>
          <w:rFonts w:ascii="Footlight MT Light" w:hAnsi="Footlight MT Light"/>
          <w:sz w:val="24"/>
          <w:szCs w:val="24"/>
        </w:rPr>
      </w:pPr>
      <w:r w:rsidRPr="00AD7A6C">
        <w:rPr>
          <w:rFonts w:ascii="Footlight MT Light" w:hAnsi="Footlight MT Light"/>
          <w:sz w:val="24"/>
          <w:szCs w:val="24"/>
        </w:rPr>
        <w:t>4.5.11</w:t>
      </w:r>
      <w:r w:rsidRPr="00AD7A6C">
        <w:rPr>
          <w:rFonts w:ascii="Footlight MT Light" w:hAnsi="Footlight MT Light"/>
          <w:sz w:val="24"/>
          <w:szCs w:val="24"/>
        </w:rPr>
        <w:tab/>
        <w:t>Fees for Application for a Certified True Copy of Lost Certificate of Mining Title:</w:t>
      </w:r>
    </w:p>
    <w:p w14:paraId="4F338E00" w14:textId="77777777" w:rsidR="00C55BE9" w:rsidRPr="00AD7A6C" w:rsidRDefault="00C55BE9" w:rsidP="006E69D2">
      <w:pPr>
        <w:spacing w:after="0"/>
        <w:ind w:left="720"/>
        <w:jc w:val="both"/>
        <w:rPr>
          <w:rFonts w:ascii="Footlight MT Light" w:hAnsi="Footlight MT Light"/>
          <w:sz w:val="24"/>
          <w:szCs w:val="24"/>
        </w:rPr>
      </w:pPr>
      <w:r w:rsidRPr="00AD7A6C">
        <w:rPr>
          <w:rFonts w:ascii="Footlight MT Light" w:hAnsi="Footlight MT Light"/>
          <w:sz w:val="24"/>
          <w:szCs w:val="24"/>
        </w:rPr>
        <w:t>This is a fee paid by operators in the mining sector to obtain certified true copy of lost mining titles.</w:t>
      </w:r>
    </w:p>
    <w:p w14:paraId="07DB64E7" w14:textId="77777777" w:rsidR="00C55BE9" w:rsidRPr="00AD7A6C" w:rsidRDefault="00C55BE9" w:rsidP="006E69D2">
      <w:pPr>
        <w:spacing w:after="0"/>
        <w:jc w:val="both"/>
        <w:rPr>
          <w:rFonts w:ascii="Footlight MT Light" w:hAnsi="Footlight MT Light"/>
          <w:sz w:val="24"/>
          <w:szCs w:val="24"/>
        </w:rPr>
      </w:pPr>
    </w:p>
    <w:p w14:paraId="06BAAFAA" w14:textId="62644CD6"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4.5.12</w:t>
      </w:r>
      <w:r w:rsidRPr="00AD7A6C">
        <w:rPr>
          <w:rFonts w:ascii="Footlight MT Light" w:hAnsi="Footlight MT Light"/>
          <w:sz w:val="24"/>
          <w:szCs w:val="24"/>
        </w:rPr>
        <w:tab/>
        <w:t>Fees for Application for Amendments of Documents: This is a fee paid by solid minerals companies upon request by the MCO, for the amendment of their certificates to reflect current status</w:t>
      </w:r>
    </w:p>
    <w:p w14:paraId="42F1B3A5" w14:textId="77777777" w:rsidR="00C55BE9" w:rsidRPr="00AD7A6C" w:rsidRDefault="00C55BE9" w:rsidP="006E69D2">
      <w:pPr>
        <w:spacing w:after="0"/>
        <w:jc w:val="both"/>
        <w:rPr>
          <w:rFonts w:ascii="Footlight MT Light" w:hAnsi="Footlight MT Light"/>
          <w:sz w:val="24"/>
          <w:szCs w:val="24"/>
        </w:rPr>
      </w:pPr>
    </w:p>
    <w:p w14:paraId="4D85A532" w14:textId="3CE49BD0"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4.5.13</w:t>
      </w:r>
      <w:r w:rsidRPr="00AD7A6C">
        <w:rPr>
          <w:rFonts w:ascii="Footlight MT Light" w:hAnsi="Footlight MT Light"/>
          <w:sz w:val="24"/>
          <w:szCs w:val="24"/>
        </w:rPr>
        <w:tab/>
        <w:t>Search fee/due diligence: This is a fee required by companies for the conduct of search and due diligence on prospective miners.</w:t>
      </w:r>
    </w:p>
    <w:p w14:paraId="1B1F4A5B" w14:textId="77777777" w:rsidR="00C55BE9" w:rsidRPr="00AD7A6C" w:rsidRDefault="00C55BE9" w:rsidP="006E69D2">
      <w:pPr>
        <w:spacing w:after="0"/>
        <w:jc w:val="both"/>
        <w:rPr>
          <w:rFonts w:ascii="Footlight MT Light" w:hAnsi="Footlight MT Light"/>
          <w:sz w:val="24"/>
          <w:szCs w:val="24"/>
        </w:rPr>
      </w:pPr>
    </w:p>
    <w:p w14:paraId="1A743AB6" w14:textId="266B2313" w:rsidR="00C55BE9" w:rsidRPr="00AD7A6C" w:rsidRDefault="00C55BE9"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4.5.14</w:t>
      </w:r>
      <w:r w:rsidRPr="00AD7A6C">
        <w:rPr>
          <w:rFonts w:ascii="Footlight MT Light" w:hAnsi="Footlight MT Light"/>
          <w:sz w:val="24"/>
          <w:szCs w:val="24"/>
        </w:rPr>
        <w:tab/>
        <w:t>Fees for Cadastre Map Information, Application for a Certified True Copy of other Documents other than Title Documents</w:t>
      </w:r>
      <w:r w:rsidR="00E90508" w:rsidRPr="00AD7A6C">
        <w:rPr>
          <w:rFonts w:ascii="Footlight MT Light" w:hAnsi="Footlight MT Light"/>
          <w:sz w:val="24"/>
          <w:szCs w:val="24"/>
        </w:rPr>
        <w:t>.</w:t>
      </w:r>
    </w:p>
    <w:p w14:paraId="2227C7C1" w14:textId="77777777" w:rsidR="00E90508" w:rsidRPr="00AD7A6C" w:rsidRDefault="00E90508" w:rsidP="006E69D2">
      <w:pPr>
        <w:spacing w:after="0"/>
        <w:ind w:left="720" w:hanging="720"/>
        <w:jc w:val="both"/>
        <w:rPr>
          <w:rFonts w:ascii="Footlight MT Light" w:hAnsi="Footlight MT Light"/>
          <w:sz w:val="24"/>
          <w:szCs w:val="24"/>
        </w:rPr>
      </w:pPr>
    </w:p>
    <w:p w14:paraId="692B2678" w14:textId="7C5BF2D9" w:rsidR="00E90508" w:rsidRPr="00AD7A6C" w:rsidRDefault="00E90508"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4.5.15</w:t>
      </w:r>
      <w:r w:rsidRPr="00AD7A6C">
        <w:rPr>
          <w:rFonts w:ascii="Footlight MT Light" w:hAnsi="Footlight MT Light"/>
          <w:sz w:val="24"/>
          <w:szCs w:val="24"/>
        </w:rPr>
        <w:tab/>
        <w:t>Application for Artisanal and Small- Scale Mining: This is a fee for artisans and organizations intending to engage in mining activities on a small scale.</w:t>
      </w:r>
    </w:p>
    <w:p w14:paraId="376FB99D" w14:textId="77777777" w:rsidR="00E90508" w:rsidRPr="00AD7A6C" w:rsidRDefault="00E90508" w:rsidP="006E69D2">
      <w:pPr>
        <w:spacing w:after="0"/>
        <w:ind w:left="720" w:hanging="720"/>
        <w:jc w:val="both"/>
        <w:rPr>
          <w:rFonts w:ascii="Footlight MT Light" w:hAnsi="Footlight MT Light"/>
          <w:sz w:val="24"/>
          <w:szCs w:val="24"/>
        </w:rPr>
      </w:pPr>
    </w:p>
    <w:p w14:paraId="543084B7" w14:textId="4E92FEA6" w:rsidR="00E90508" w:rsidRPr="00AD7A6C" w:rsidRDefault="00E90508"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lastRenderedPageBreak/>
        <w:t>4.5.16</w:t>
      </w:r>
      <w:r w:rsidRPr="00AD7A6C">
        <w:rPr>
          <w:rFonts w:ascii="Footlight MT Light" w:hAnsi="Footlight MT Light"/>
          <w:sz w:val="24"/>
          <w:szCs w:val="24"/>
        </w:rPr>
        <w:tab/>
        <w:t>Application for registration for mineral buying center: This is a fee to be paid in respect of an application that enables holders to purchase and possess minerals.</w:t>
      </w:r>
    </w:p>
    <w:p w14:paraId="646041A9" w14:textId="77777777" w:rsidR="00E90508" w:rsidRPr="00AD7A6C" w:rsidRDefault="00E90508" w:rsidP="006E69D2">
      <w:pPr>
        <w:spacing w:after="0"/>
        <w:ind w:left="720" w:hanging="720"/>
        <w:jc w:val="both"/>
        <w:rPr>
          <w:rFonts w:ascii="Footlight MT Light" w:hAnsi="Footlight MT Light"/>
          <w:sz w:val="24"/>
          <w:szCs w:val="24"/>
        </w:rPr>
      </w:pPr>
    </w:p>
    <w:p w14:paraId="6E2402F2" w14:textId="747CAA0B" w:rsidR="00E90508" w:rsidRPr="00AD7A6C" w:rsidRDefault="00E90508"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4.5.17</w:t>
      </w:r>
      <w:r w:rsidRPr="00AD7A6C">
        <w:rPr>
          <w:rFonts w:ascii="Footlight MT Light" w:hAnsi="Footlight MT Light"/>
          <w:sz w:val="24"/>
          <w:szCs w:val="24"/>
        </w:rPr>
        <w:tab/>
        <w:t>Application for annual renewal of buying centre: This is a fee required of every buying centre to retain the right to purchase and possess minerals.</w:t>
      </w:r>
    </w:p>
    <w:p w14:paraId="1658F5B4" w14:textId="77777777" w:rsidR="00796C8D" w:rsidRPr="00AD7A6C" w:rsidRDefault="00796C8D" w:rsidP="006E69D2">
      <w:pPr>
        <w:spacing w:after="0"/>
        <w:ind w:left="720"/>
        <w:jc w:val="both"/>
        <w:rPr>
          <w:rFonts w:ascii="Footlight MT Light" w:hAnsi="Footlight MT Light"/>
          <w:sz w:val="24"/>
          <w:szCs w:val="24"/>
        </w:rPr>
      </w:pPr>
    </w:p>
    <w:p w14:paraId="70DEDE39" w14:textId="178BE10F" w:rsidR="00586647" w:rsidRPr="00AD7A6C" w:rsidRDefault="00E90508" w:rsidP="006E69D2">
      <w:pPr>
        <w:spacing w:after="0"/>
        <w:jc w:val="both"/>
        <w:rPr>
          <w:rFonts w:ascii="Footlight MT Light" w:hAnsi="Footlight MT Light"/>
          <w:b/>
          <w:bCs/>
          <w:sz w:val="24"/>
          <w:szCs w:val="24"/>
        </w:rPr>
      </w:pPr>
      <w:r w:rsidRPr="00AD7A6C">
        <w:rPr>
          <w:rFonts w:ascii="Footlight MT Light" w:hAnsi="Footlight MT Light"/>
          <w:b/>
          <w:bCs/>
          <w:sz w:val="24"/>
          <w:szCs w:val="24"/>
        </w:rPr>
        <w:t>4.6</w:t>
      </w:r>
      <w:r w:rsidR="00586647" w:rsidRPr="00AD7A6C">
        <w:rPr>
          <w:rFonts w:ascii="Footlight MT Light" w:hAnsi="Footlight MT Light"/>
          <w:b/>
          <w:bCs/>
          <w:sz w:val="24"/>
          <w:szCs w:val="24"/>
        </w:rPr>
        <w:tab/>
        <w:t>Nigerian Export Supervision Scheme (NESS): CBN</w:t>
      </w:r>
    </w:p>
    <w:p w14:paraId="61379F8A" w14:textId="56D2546F" w:rsidR="00796C8D" w:rsidRPr="00AD7A6C" w:rsidRDefault="00586647" w:rsidP="006E69D2">
      <w:pPr>
        <w:spacing w:after="0"/>
        <w:ind w:left="720"/>
        <w:jc w:val="both"/>
        <w:rPr>
          <w:rFonts w:ascii="Footlight MT Light" w:hAnsi="Footlight MT Light"/>
          <w:sz w:val="24"/>
          <w:szCs w:val="24"/>
        </w:rPr>
      </w:pPr>
      <w:r w:rsidRPr="00AD7A6C">
        <w:rPr>
          <w:rFonts w:ascii="Footlight MT Light" w:hAnsi="Footlight MT Light"/>
          <w:sz w:val="24"/>
          <w:szCs w:val="24"/>
        </w:rPr>
        <w:t>Exporters of goods are required to pay a fee to a designated bank in order to obtain a Clean Certificate of Inspection (CCC). This facilitates loading and shipment of the goods. The designated bank shall remit the money into NESS account with the Central Bank. The payment which is made at the point of export out of the country is paid on the basis of: 0.5% FOB value of the export consignment for non-oil minerals</w:t>
      </w:r>
      <w:r w:rsidR="004B5C86" w:rsidRPr="00AD7A6C">
        <w:rPr>
          <w:rFonts w:ascii="Footlight MT Light" w:hAnsi="Footlight MT Light"/>
          <w:sz w:val="24"/>
          <w:szCs w:val="24"/>
        </w:rPr>
        <w:t>, and</w:t>
      </w:r>
      <w:r w:rsidR="004B5C86" w:rsidRPr="00AD7A6C">
        <w:t xml:space="preserve"> </w:t>
      </w:r>
      <w:r w:rsidR="004B5C86" w:rsidRPr="00AD7A6C">
        <w:rPr>
          <w:rFonts w:ascii="Footlight MT Light" w:hAnsi="Footlight MT Light"/>
          <w:sz w:val="24"/>
          <w:szCs w:val="24"/>
        </w:rPr>
        <w:t>0.1% of the assessed FOB value of the crude oil cargo</w:t>
      </w:r>
      <w:r w:rsidRPr="00AD7A6C">
        <w:rPr>
          <w:rFonts w:ascii="Footlight MT Light" w:hAnsi="Footlight MT Light"/>
          <w:sz w:val="24"/>
          <w:szCs w:val="24"/>
        </w:rPr>
        <w:t>.</w:t>
      </w:r>
      <w:r w:rsidR="00E90508" w:rsidRPr="00AD7A6C">
        <w:rPr>
          <w:rFonts w:ascii="Footlight MT Light" w:hAnsi="Footlight MT Light"/>
          <w:sz w:val="24"/>
          <w:szCs w:val="24"/>
        </w:rPr>
        <w:tab/>
      </w:r>
    </w:p>
    <w:p w14:paraId="7B8C49AC" w14:textId="77777777" w:rsidR="00796C8D" w:rsidRPr="00AD7A6C" w:rsidRDefault="00796C8D" w:rsidP="006E69D2">
      <w:pPr>
        <w:spacing w:after="0"/>
        <w:ind w:left="720"/>
        <w:jc w:val="both"/>
        <w:rPr>
          <w:rFonts w:ascii="Footlight MT Light" w:hAnsi="Footlight MT Light"/>
          <w:sz w:val="24"/>
          <w:szCs w:val="24"/>
        </w:rPr>
      </w:pPr>
    </w:p>
    <w:p w14:paraId="78938F4B" w14:textId="0178DF03" w:rsidR="00796C8D" w:rsidRPr="00AD7A6C" w:rsidRDefault="00586647" w:rsidP="006E69D2">
      <w:pPr>
        <w:spacing w:after="0"/>
        <w:jc w:val="both"/>
        <w:rPr>
          <w:rFonts w:ascii="Footlight MT Light" w:hAnsi="Footlight MT Light"/>
          <w:b/>
          <w:bCs/>
          <w:sz w:val="24"/>
          <w:szCs w:val="24"/>
        </w:rPr>
      </w:pPr>
      <w:r w:rsidRPr="00AD7A6C">
        <w:rPr>
          <w:rFonts w:ascii="Footlight MT Light" w:hAnsi="Footlight MT Light"/>
          <w:b/>
          <w:bCs/>
          <w:sz w:val="24"/>
          <w:szCs w:val="24"/>
        </w:rPr>
        <w:t>4.7</w:t>
      </w:r>
      <w:r w:rsidRPr="00AD7A6C">
        <w:rPr>
          <w:rFonts w:ascii="Footlight MT Light" w:hAnsi="Footlight MT Light"/>
          <w:b/>
          <w:bCs/>
          <w:sz w:val="24"/>
          <w:szCs w:val="24"/>
        </w:rPr>
        <w:tab/>
      </w:r>
      <w:r w:rsidR="009E5197" w:rsidRPr="00AD7A6C">
        <w:rPr>
          <w:rFonts w:ascii="Footlight MT Light" w:hAnsi="Footlight MT Light"/>
          <w:b/>
          <w:bCs/>
          <w:sz w:val="24"/>
          <w:szCs w:val="24"/>
        </w:rPr>
        <w:t>Signature Bonus/ Licence fees: NUPRC</w:t>
      </w:r>
    </w:p>
    <w:p w14:paraId="0804882F" w14:textId="3DE80C9B" w:rsidR="009E5197" w:rsidRPr="00AD7A6C" w:rsidRDefault="009E5197" w:rsidP="006E69D2">
      <w:pPr>
        <w:spacing w:after="0"/>
        <w:ind w:left="720"/>
        <w:jc w:val="both"/>
        <w:rPr>
          <w:rFonts w:ascii="Footlight MT Light" w:hAnsi="Footlight MT Light"/>
          <w:sz w:val="24"/>
          <w:szCs w:val="24"/>
        </w:rPr>
      </w:pPr>
      <w:r w:rsidRPr="00AD7A6C">
        <w:rPr>
          <w:rFonts w:ascii="Footlight MT Light" w:hAnsi="Footlight MT Light"/>
          <w:sz w:val="24"/>
          <w:szCs w:val="24"/>
        </w:rPr>
        <w:t>This is a one-time payment made to secure a license by oil and gas companies and fees are paid subsequently for its renewal.</w:t>
      </w:r>
    </w:p>
    <w:p w14:paraId="5ACA0DB1" w14:textId="77777777" w:rsidR="00796C8D" w:rsidRPr="00AD7A6C" w:rsidRDefault="00796C8D" w:rsidP="006E69D2">
      <w:pPr>
        <w:spacing w:after="0"/>
        <w:ind w:left="720"/>
        <w:jc w:val="both"/>
        <w:rPr>
          <w:rFonts w:ascii="Footlight MT Light" w:hAnsi="Footlight MT Light"/>
          <w:sz w:val="24"/>
          <w:szCs w:val="24"/>
        </w:rPr>
      </w:pPr>
    </w:p>
    <w:p w14:paraId="78A96291" w14:textId="27764BBA" w:rsidR="00796C8D" w:rsidRPr="00AD7A6C" w:rsidRDefault="009E5197" w:rsidP="006E69D2">
      <w:pPr>
        <w:spacing w:after="0"/>
        <w:jc w:val="both"/>
        <w:rPr>
          <w:rFonts w:ascii="Footlight MT Light" w:hAnsi="Footlight MT Light"/>
          <w:b/>
          <w:bCs/>
          <w:sz w:val="24"/>
          <w:szCs w:val="24"/>
        </w:rPr>
      </w:pPr>
      <w:r w:rsidRPr="00AD7A6C">
        <w:rPr>
          <w:rFonts w:ascii="Footlight MT Light" w:hAnsi="Footlight MT Light"/>
          <w:b/>
          <w:bCs/>
          <w:sz w:val="24"/>
          <w:szCs w:val="24"/>
        </w:rPr>
        <w:t>4.8</w:t>
      </w:r>
      <w:r w:rsidRPr="00AD7A6C">
        <w:rPr>
          <w:rFonts w:ascii="Footlight MT Light" w:hAnsi="Footlight MT Light"/>
          <w:b/>
          <w:bCs/>
          <w:sz w:val="24"/>
          <w:szCs w:val="24"/>
        </w:rPr>
        <w:tab/>
        <w:t>Flared Gas Payment:</w:t>
      </w:r>
      <w:r w:rsidR="001D2BF4" w:rsidRPr="00AD7A6C">
        <w:rPr>
          <w:rFonts w:ascii="Footlight MT Light" w:hAnsi="Footlight MT Light"/>
          <w:b/>
          <w:bCs/>
          <w:sz w:val="24"/>
          <w:szCs w:val="24"/>
        </w:rPr>
        <w:t xml:space="preserve"> NUPRC</w:t>
      </w:r>
    </w:p>
    <w:p w14:paraId="7EB0E8F4" w14:textId="21947680" w:rsidR="009E5197" w:rsidRPr="00AD7A6C" w:rsidRDefault="009E5197" w:rsidP="006E69D2">
      <w:pPr>
        <w:ind w:left="720"/>
        <w:jc w:val="both"/>
        <w:rPr>
          <w:rFonts w:ascii="Footlight MT Light" w:hAnsi="Footlight MT Light"/>
          <w:sz w:val="24"/>
          <w:szCs w:val="24"/>
        </w:rPr>
      </w:pPr>
      <w:r w:rsidRPr="00AD7A6C">
        <w:rPr>
          <w:rFonts w:ascii="Footlight MT Light" w:hAnsi="Footlight MT Light"/>
          <w:sz w:val="24"/>
          <w:szCs w:val="24"/>
        </w:rPr>
        <w:t>Gas flaring is the burning of the natural gas associated with oil extraction. Gas flare payments apply to any natural gas that is flared and/ or vented at production facilities of producers.</w:t>
      </w:r>
    </w:p>
    <w:p w14:paraId="63E5E4D4" w14:textId="77777777" w:rsidR="009E5197" w:rsidRPr="00AD7A6C" w:rsidRDefault="009E5197" w:rsidP="006E69D2">
      <w:pPr>
        <w:ind w:left="720"/>
        <w:jc w:val="both"/>
        <w:rPr>
          <w:rFonts w:ascii="Footlight MT Light" w:hAnsi="Footlight MT Light"/>
          <w:sz w:val="24"/>
          <w:szCs w:val="24"/>
        </w:rPr>
      </w:pPr>
      <w:r w:rsidRPr="00AD7A6C">
        <w:rPr>
          <w:rFonts w:ascii="Footlight MT Light" w:hAnsi="Footlight MT Light"/>
          <w:sz w:val="24"/>
          <w:szCs w:val="24"/>
        </w:rPr>
        <w:t>Flared Gas Payments:</w:t>
      </w:r>
    </w:p>
    <w:p w14:paraId="05889387" w14:textId="77777777" w:rsidR="009E5197" w:rsidRPr="00AD7A6C" w:rsidRDefault="009E5197" w:rsidP="006E69D2">
      <w:pPr>
        <w:ind w:left="1440"/>
        <w:jc w:val="both"/>
        <w:rPr>
          <w:rFonts w:ascii="Footlight MT Light" w:hAnsi="Footlight MT Light"/>
          <w:sz w:val="24"/>
          <w:szCs w:val="24"/>
        </w:rPr>
      </w:pPr>
      <w:r w:rsidRPr="00AD7A6C">
        <w:rPr>
          <w:rFonts w:ascii="Footlight MT Light" w:hAnsi="Footlight MT Light"/>
          <w:sz w:val="24"/>
          <w:szCs w:val="24"/>
        </w:rPr>
        <w:t>• &gt;10000 bbls of crude oil per day – US$2 per thousand standard cubic feet of gas</w:t>
      </w:r>
    </w:p>
    <w:p w14:paraId="639054D8" w14:textId="77777777" w:rsidR="009E5197" w:rsidRPr="00AD7A6C" w:rsidRDefault="009E5197" w:rsidP="006E69D2">
      <w:pPr>
        <w:ind w:left="1440"/>
        <w:jc w:val="both"/>
        <w:rPr>
          <w:rFonts w:ascii="Footlight MT Light" w:hAnsi="Footlight MT Light"/>
          <w:sz w:val="24"/>
          <w:szCs w:val="24"/>
        </w:rPr>
      </w:pPr>
      <w:r w:rsidRPr="00AD7A6C">
        <w:rPr>
          <w:rFonts w:ascii="Footlight MT Light" w:hAnsi="Footlight MT Light"/>
          <w:sz w:val="24"/>
          <w:szCs w:val="24"/>
        </w:rPr>
        <w:t>• &lt;10000 bbls of crude oil per day – US$0.50 per thousand standard cubic feet of gas</w:t>
      </w:r>
    </w:p>
    <w:p w14:paraId="7A97A7C8" w14:textId="5849FF3E" w:rsidR="009E5197" w:rsidRPr="00AD7A6C" w:rsidRDefault="009E5197" w:rsidP="006E69D2">
      <w:pPr>
        <w:ind w:left="720"/>
        <w:jc w:val="both"/>
        <w:rPr>
          <w:rFonts w:ascii="Footlight MT Light" w:hAnsi="Footlight MT Light"/>
          <w:sz w:val="24"/>
          <w:szCs w:val="24"/>
        </w:rPr>
      </w:pPr>
      <w:r w:rsidRPr="00AD7A6C">
        <w:rPr>
          <w:rFonts w:ascii="Footlight MT Light" w:hAnsi="Footlight MT Light"/>
          <w:sz w:val="24"/>
          <w:szCs w:val="24"/>
        </w:rPr>
        <w:t>Following the implementation of the Petroleum Industry Act (PIA 2021), a 4% cost of collection (CoC) fee is imposed by the Authority on all gas flare penalties arising from midstream activities, while the Commission applies the same fee for penalties arising from the upstream sector. Under the PIA, revenue generated from these penalties will no longer be directed to the federation but will instead be allocated to sub-national entities. The PIA mandates that funds received from gas flaring penalties by the Commission and the Authority be earmarked for environmental remediation purposes and deposited into the Environmental Remediation Fund. These funds will be utilized for the relief of host communities affected by oil and gas activities.</w:t>
      </w:r>
    </w:p>
    <w:p w14:paraId="3CBF4B33" w14:textId="463D14BF" w:rsidR="001D2BF4" w:rsidRPr="00AD7A6C" w:rsidRDefault="009E5197" w:rsidP="006E69D2">
      <w:pPr>
        <w:spacing w:after="0"/>
        <w:ind w:left="720" w:hanging="720"/>
        <w:jc w:val="both"/>
        <w:rPr>
          <w:rFonts w:ascii="Footlight MT Light" w:hAnsi="Footlight MT Light"/>
          <w:b/>
          <w:bCs/>
          <w:sz w:val="24"/>
          <w:szCs w:val="24"/>
        </w:rPr>
      </w:pPr>
      <w:r w:rsidRPr="00AD7A6C">
        <w:rPr>
          <w:rFonts w:ascii="Footlight MT Light" w:hAnsi="Footlight MT Light"/>
          <w:b/>
          <w:bCs/>
          <w:sz w:val="24"/>
          <w:szCs w:val="24"/>
        </w:rPr>
        <w:t>4.9</w:t>
      </w:r>
      <w:r w:rsidR="001D2BF4" w:rsidRPr="00AD7A6C">
        <w:rPr>
          <w:rFonts w:ascii="Footlight MT Light" w:hAnsi="Footlight MT Light"/>
          <w:b/>
          <w:bCs/>
          <w:sz w:val="24"/>
          <w:szCs w:val="24"/>
        </w:rPr>
        <w:tab/>
        <w:t>Dividend from NLNG:</w:t>
      </w:r>
      <w:r w:rsidR="00C54E54" w:rsidRPr="00AD7A6C">
        <w:rPr>
          <w:rFonts w:ascii="Footlight MT Light" w:hAnsi="Footlight MT Light"/>
          <w:b/>
          <w:bCs/>
          <w:sz w:val="24"/>
          <w:szCs w:val="24"/>
        </w:rPr>
        <w:t xml:space="preserve"> NNPLC</w:t>
      </w:r>
    </w:p>
    <w:p w14:paraId="6EE6D897" w14:textId="7C5750AF" w:rsidR="001D2BF4" w:rsidRPr="00AD7A6C" w:rsidRDefault="001D2BF4"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ab/>
        <w:t xml:space="preserve">This is NNPC’s profits from its investment in Nigeria NLG Limited (NLNG). Nigeria Liquified Natural Gas limited Company is a joint venture created to produce LNG and natural gas liquids for export. Read more on NLNG here </w:t>
      </w:r>
    </w:p>
    <w:p w14:paraId="1463A120" w14:textId="77777777" w:rsidR="001D2BF4" w:rsidRPr="00AD7A6C" w:rsidRDefault="001D2BF4" w:rsidP="006E69D2">
      <w:pPr>
        <w:spacing w:after="0"/>
        <w:jc w:val="both"/>
        <w:rPr>
          <w:rFonts w:ascii="Footlight MT Light" w:hAnsi="Footlight MT Light"/>
          <w:sz w:val="24"/>
          <w:szCs w:val="24"/>
        </w:rPr>
      </w:pPr>
    </w:p>
    <w:p w14:paraId="35C8EC1F" w14:textId="7F730D4F" w:rsidR="001D2BF4" w:rsidRPr="00AD7A6C" w:rsidRDefault="001D2BF4" w:rsidP="006E69D2">
      <w:pPr>
        <w:spacing w:after="0"/>
        <w:ind w:left="720" w:hanging="720"/>
        <w:jc w:val="both"/>
        <w:rPr>
          <w:rFonts w:ascii="Footlight MT Light" w:hAnsi="Footlight MT Light"/>
          <w:sz w:val="24"/>
          <w:szCs w:val="24"/>
        </w:rPr>
      </w:pPr>
      <w:r w:rsidRPr="00AD7A6C">
        <w:rPr>
          <w:rFonts w:ascii="Footlight MT Light" w:hAnsi="Footlight MT Light"/>
          <w:b/>
          <w:bCs/>
          <w:sz w:val="24"/>
          <w:szCs w:val="24"/>
        </w:rPr>
        <w:t>4.10</w:t>
      </w:r>
      <w:r w:rsidRPr="00AD7A6C">
        <w:rPr>
          <w:rFonts w:ascii="Footlight MT Light" w:hAnsi="Footlight MT Light"/>
          <w:sz w:val="24"/>
          <w:szCs w:val="24"/>
        </w:rPr>
        <w:tab/>
      </w:r>
      <w:r w:rsidRPr="00AD7A6C">
        <w:rPr>
          <w:rFonts w:ascii="Footlight MT Light" w:hAnsi="Footlight MT Light"/>
          <w:b/>
          <w:bCs/>
          <w:sz w:val="24"/>
          <w:szCs w:val="24"/>
        </w:rPr>
        <w:t>Transportation Fees/ Pipeline/ Haulage Fees:</w:t>
      </w:r>
      <w:r w:rsidR="00C54E54" w:rsidRPr="00AD7A6C">
        <w:rPr>
          <w:rFonts w:ascii="Footlight MT Light" w:hAnsi="Footlight MT Light"/>
          <w:b/>
          <w:bCs/>
          <w:sz w:val="24"/>
          <w:szCs w:val="24"/>
        </w:rPr>
        <w:t xml:space="preserve"> NNPLC</w:t>
      </w:r>
    </w:p>
    <w:p w14:paraId="29100893" w14:textId="5F3600C8" w:rsidR="001D2BF4" w:rsidRPr="00AD7A6C" w:rsidRDefault="001D2BF4"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ab/>
        <w:t>This is revenue received by the NNPC in relation to transportation of oil and gas products either through pipelines, truck, barges etc.</w:t>
      </w:r>
    </w:p>
    <w:p w14:paraId="2FBDE613" w14:textId="77777777" w:rsidR="001D2BF4" w:rsidRPr="00AD7A6C" w:rsidRDefault="001D2BF4" w:rsidP="006E69D2">
      <w:pPr>
        <w:spacing w:after="0"/>
        <w:ind w:firstLine="720"/>
        <w:jc w:val="both"/>
        <w:rPr>
          <w:rFonts w:ascii="Footlight MT Light" w:hAnsi="Footlight MT Light"/>
          <w:b/>
          <w:bCs/>
          <w:sz w:val="24"/>
          <w:szCs w:val="24"/>
        </w:rPr>
      </w:pPr>
    </w:p>
    <w:p w14:paraId="222CB581" w14:textId="64D5F344" w:rsidR="001D2BF4" w:rsidRPr="00AD7A6C" w:rsidRDefault="001D2BF4" w:rsidP="006E69D2">
      <w:pPr>
        <w:spacing w:after="0"/>
        <w:ind w:left="720" w:hanging="720"/>
        <w:jc w:val="both"/>
        <w:rPr>
          <w:rFonts w:ascii="Footlight MT Light" w:hAnsi="Footlight MT Light"/>
          <w:b/>
          <w:bCs/>
          <w:sz w:val="24"/>
          <w:szCs w:val="24"/>
        </w:rPr>
      </w:pPr>
      <w:r w:rsidRPr="00AD7A6C">
        <w:rPr>
          <w:rFonts w:ascii="Footlight MT Light" w:hAnsi="Footlight MT Light"/>
          <w:b/>
          <w:bCs/>
          <w:sz w:val="24"/>
          <w:szCs w:val="24"/>
        </w:rPr>
        <w:t>4.11</w:t>
      </w:r>
      <w:r w:rsidRPr="00AD7A6C">
        <w:rPr>
          <w:rFonts w:ascii="Footlight MT Light" w:hAnsi="Footlight MT Light"/>
          <w:b/>
          <w:bCs/>
          <w:sz w:val="24"/>
          <w:szCs w:val="24"/>
        </w:rPr>
        <w:tab/>
        <w:t>Proceeds from Sale of Federation Export Crude Oil:</w:t>
      </w:r>
      <w:r w:rsidR="00C54E54" w:rsidRPr="00AD7A6C">
        <w:rPr>
          <w:rFonts w:ascii="Footlight MT Light" w:hAnsi="Footlight MT Light"/>
          <w:b/>
          <w:bCs/>
          <w:sz w:val="24"/>
          <w:szCs w:val="24"/>
        </w:rPr>
        <w:t xml:space="preserve"> NNPLC</w:t>
      </w:r>
    </w:p>
    <w:p w14:paraId="6725C2A5" w14:textId="2DBC0C32" w:rsidR="001D2BF4" w:rsidRPr="00AD7A6C" w:rsidRDefault="001D2BF4"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ab/>
        <w:t xml:space="preserve">These are revenues from the international sales of the Federation crude oil equity entitlement from various production arrangement. It also includes in-kind payments </w:t>
      </w:r>
      <w:r w:rsidRPr="00AD7A6C">
        <w:rPr>
          <w:rFonts w:ascii="Footlight MT Light" w:hAnsi="Footlight MT Light"/>
          <w:sz w:val="24"/>
          <w:szCs w:val="24"/>
        </w:rPr>
        <w:lastRenderedPageBreak/>
        <w:t>for petroleum sharing contracts (PSCs), JVs that is lifted by NNPC. In-kind payments from PPT, royalties etc.</w:t>
      </w:r>
    </w:p>
    <w:p w14:paraId="7400B42E" w14:textId="77777777" w:rsidR="001D2BF4" w:rsidRPr="00AD7A6C" w:rsidRDefault="001D2BF4" w:rsidP="006E69D2">
      <w:pPr>
        <w:spacing w:after="0"/>
        <w:ind w:left="720" w:hanging="720"/>
        <w:jc w:val="both"/>
        <w:rPr>
          <w:rFonts w:ascii="Footlight MT Light" w:hAnsi="Footlight MT Light"/>
          <w:sz w:val="24"/>
          <w:szCs w:val="24"/>
        </w:rPr>
      </w:pPr>
    </w:p>
    <w:p w14:paraId="1876CBAE" w14:textId="68CA4576" w:rsidR="001D2BF4" w:rsidRPr="00AD7A6C" w:rsidRDefault="001D2BF4" w:rsidP="006E69D2">
      <w:pPr>
        <w:spacing w:after="0"/>
        <w:jc w:val="both"/>
        <w:rPr>
          <w:rFonts w:ascii="Footlight MT Light" w:hAnsi="Footlight MT Light"/>
          <w:b/>
          <w:bCs/>
          <w:sz w:val="24"/>
          <w:szCs w:val="24"/>
        </w:rPr>
      </w:pPr>
      <w:r w:rsidRPr="00AD7A6C">
        <w:rPr>
          <w:rFonts w:ascii="Footlight MT Light" w:hAnsi="Footlight MT Light"/>
          <w:sz w:val="24"/>
          <w:szCs w:val="24"/>
        </w:rPr>
        <w:t xml:space="preserve"> </w:t>
      </w:r>
      <w:r w:rsidRPr="00AD7A6C">
        <w:rPr>
          <w:rFonts w:ascii="Footlight MT Light" w:hAnsi="Footlight MT Light"/>
          <w:b/>
          <w:bCs/>
          <w:sz w:val="24"/>
          <w:szCs w:val="24"/>
        </w:rPr>
        <w:t>4.12</w:t>
      </w:r>
      <w:r w:rsidRPr="00AD7A6C">
        <w:rPr>
          <w:rFonts w:ascii="Footlight MT Light" w:hAnsi="Footlight MT Light"/>
          <w:b/>
          <w:bCs/>
          <w:sz w:val="24"/>
          <w:szCs w:val="24"/>
        </w:rPr>
        <w:tab/>
        <w:t>Proceeds from Sale of Domestic Crude Oil:</w:t>
      </w:r>
      <w:r w:rsidR="00C54E54" w:rsidRPr="00AD7A6C">
        <w:rPr>
          <w:rFonts w:ascii="Footlight MT Light" w:hAnsi="Footlight MT Light"/>
          <w:b/>
          <w:bCs/>
          <w:sz w:val="24"/>
          <w:szCs w:val="24"/>
        </w:rPr>
        <w:t xml:space="preserve"> NNPLC</w:t>
      </w:r>
    </w:p>
    <w:p w14:paraId="599B83D8" w14:textId="20707DE5" w:rsidR="001D2BF4" w:rsidRPr="00AD7A6C" w:rsidRDefault="001D2BF4" w:rsidP="006E69D2">
      <w:pPr>
        <w:spacing w:after="0"/>
        <w:ind w:left="720"/>
        <w:jc w:val="both"/>
        <w:rPr>
          <w:rFonts w:ascii="Footlight MT Light" w:hAnsi="Footlight MT Light"/>
          <w:sz w:val="24"/>
          <w:szCs w:val="24"/>
        </w:rPr>
      </w:pPr>
      <w:r w:rsidRPr="00AD7A6C">
        <w:rPr>
          <w:rFonts w:ascii="Footlight MT Light" w:hAnsi="Footlight MT Light"/>
          <w:sz w:val="24"/>
          <w:szCs w:val="24"/>
        </w:rPr>
        <w:t>These are revenues from the local sales of Federation crude oil equity entitlement from the different production arrangements. Crude oil is allocated from Federation equity crude from different production arrangements to NNPC for refining into petroleum products for local market or consumption.</w:t>
      </w:r>
    </w:p>
    <w:p w14:paraId="48F29EEE" w14:textId="77777777" w:rsidR="001D2BF4" w:rsidRPr="00AD7A6C" w:rsidRDefault="001D2BF4" w:rsidP="006E69D2">
      <w:pPr>
        <w:spacing w:after="0"/>
        <w:ind w:left="720"/>
        <w:jc w:val="both"/>
        <w:rPr>
          <w:rFonts w:ascii="Footlight MT Light" w:hAnsi="Footlight MT Light"/>
          <w:sz w:val="24"/>
          <w:szCs w:val="24"/>
        </w:rPr>
      </w:pPr>
    </w:p>
    <w:p w14:paraId="42956F6F" w14:textId="199A559E" w:rsidR="001D2BF4" w:rsidRPr="00AD7A6C" w:rsidRDefault="001D2BF4" w:rsidP="006E69D2">
      <w:pPr>
        <w:spacing w:after="0"/>
        <w:ind w:left="720" w:hanging="720"/>
        <w:jc w:val="both"/>
        <w:rPr>
          <w:rFonts w:ascii="Footlight MT Light" w:hAnsi="Footlight MT Light"/>
          <w:b/>
          <w:bCs/>
          <w:sz w:val="24"/>
          <w:szCs w:val="24"/>
        </w:rPr>
      </w:pPr>
      <w:r w:rsidRPr="00AD7A6C">
        <w:rPr>
          <w:rFonts w:ascii="Footlight MT Light" w:hAnsi="Footlight MT Light"/>
          <w:b/>
          <w:bCs/>
          <w:sz w:val="24"/>
          <w:szCs w:val="24"/>
        </w:rPr>
        <w:t>4.13</w:t>
      </w:r>
      <w:r w:rsidRPr="00AD7A6C">
        <w:rPr>
          <w:rFonts w:ascii="Footlight MT Light" w:hAnsi="Footlight MT Light"/>
          <w:b/>
          <w:bCs/>
          <w:sz w:val="24"/>
          <w:szCs w:val="24"/>
        </w:rPr>
        <w:tab/>
        <w:t xml:space="preserve">Proceeds from Sale of Profit Oil: </w:t>
      </w:r>
      <w:r w:rsidR="00C54E54" w:rsidRPr="00AD7A6C">
        <w:rPr>
          <w:rFonts w:ascii="Footlight MT Light" w:hAnsi="Footlight MT Light"/>
          <w:b/>
          <w:bCs/>
          <w:sz w:val="24"/>
          <w:szCs w:val="24"/>
        </w:rPr>
        <w:t>NNPLC</w:t>
      </w:r>
    </w:p>
    <w:p w14:paraId="3E1DCBA4" w14:textId="169A9010" w:rsidR="001D2BF4" w:rsidRPr="00AD7A6C" w:rsidRDefault="001D2BF4" w:rsidP="006E69D2">
      <w:pPr>
        <w:spacing w:after="0"/>
        <w:ind w:left="720"/>
        <w:jc w:val="both"/>
        <w:rPr>
          <w:rFonts w:ascii="Footlight MT Light" w:hAnsi="Footlight MT Light"/>
          <w:sz w:val="24"/>
          <w:szCs w:val="24"/>
        </w:rPr>
      </w:pPr>
      <w:r w:rsidRPr="00AD7A6C">
        <w:rPr>
          <w:rFonts w:ascii="Footlight MT Light" w:hAnsi="Footlight MT Light"/>
          <w:sz w:val="24"/>
          <w:szCs w:val="24"/>
        </w:rPr>
        <w:t>These are receipts of revenue from the sale of the Federation’s share of crude oil entitlement from PSC operations.</w:t>
      </w:r>
    </w:p>
    <w:p w14:paraId="760A026D" w14:textId="77777777" w:rsidR="001D2BF4" w:rsidRPr="00AD7A6C" w:rsidRDefault="001D2BF4" w:rsidP="006E69D2">
      <w:pPr>
        <w:spacing w:after="0"/>
        <w:ind w:left="720"/>
        <w:jc w:val="both"/>
        <w:rPr>
          <w:rFonts w:ascii="Footlight MT Light" w:hAnsi="Footlight MT Light"/>
          <w:sz w:val="24"/>
          <w:szCs w:val="24"/>
        </w:rPr>
      </w:pPr>
    </w:p>
    <w:p w14:paraId="3EA3C503" w14:textId="3F0D2AD3" w:rsidR="001D2BF4" w:rsidRPr="00AD7A6C" w:rsidRDefault="001D2BF4" w:rsidP="006E69D2">
      <w:pPr>
        <w:spacing w:after="0"/>
        <w:ind w:left="720" w:hanging="720"/>
        <w:jc w:val="both"/>
        <w:rPr>
          <w:rFonts w:ascii="Footlight MT Light" w:hAnsi="Footlight MT Light"/>
          <w:b/>
          <w:bCs/>
          <w:sz w:val="24"/>
          <w:szCs w:val="24"/>
        </w:rPr>
      </w:pPr>
      <w:r w:rsidRPr="00AD7A6C">
        <w:rPr>
          <w:rFonts w:ascii="Footlight MT Light" w:hAnsi="Footlight MT Light"/>
          <w:b/>
          <w:bCs/>
          <w:sz w:val="24"/>
          <w:szCs w:val="24"/>
        </w:rPr>
        <w:t>4.14</w:t>
      </w:r>
      <w:r w:rsidRPr="00AD7A6C">
        <w:rPr>
          <w:rFonts w:ascii="Footlight MT Light" w:hAnsi="Footlight MT Light"/>
          <w:b/>
          <w:bCs/>
          <w:sz w:val="24"/>
          <w:szCs w:val="24"/>
        </w:rPr>
        <w:tab/>
        <w:t>Proceeds from Sale of Federation Equity Gas</w:t>
      </w:r>
      <w:r w:rsidRPr="00AD7A6C">
        <w:rPr>
          <w:rFonts w:ascii="Footlight MT Light" w:hAnsi="Footlight MT Light"/>
          <w:b/>
          <w:bCs/>
          <w:sz w:val="24"/>
          <w:szCs w:val="24"/>
        </w:rPr>
        <w:tab/>
        <w:t>:</w:t>
      </w:r>
      <w:r w:rsidR="00C54E54" w:rsidRPr="00AD7A6C">
        <w:rPr>
          <w:rFonts w:ascii="Footlight MT Light" w:hAnsi="Footlight MT Light"/>
          <w:b/>
          <w:bCs/>
          <w:sz w:val="24"/>
          <w:szCs w:val="24"/>
        </w:rPr>
        <w:t xml:space="preserve"> NNPLC</w:t>
      </w:r>
    </w:p>
    <w:p w14:paraId="372C7AC6" w14:textId="77777777" w:rsidR="001D2BF4" w:rsidRPr="00AD7A6C" w:rsidRDefault="001D2BF4" w:rsidP="006E69D2">
      <w:pPr>
        <w:spacing w:after="0"/>
        <w:ind w:left="720"/>
        <w:jc w:val="both"/>
        <w:rPr>
          <w:rFonts w:ascii="Footlight MT Light" w:hAnsi="Footlight MT Light"/>
          <w:sz w:val="24"/>
          <w:szCs w:val="24"/>
        </w:rPr>
      </w:pPr>
      <w:r w:rsidRPr="00AD7A6C">
        <w:rPr>
          <w:rFonts w:ascii="Footlight MT Light" w:hAnsi="Footlight MT Light"/>
          <w:sz w:val="24"/>
          <w:szCs w:val="24"/>
        </w:rPr>
        <w:t xml:space="preserve">These are revenues from the sale of the Federation Gas equity entitlement from JV operations. </w:t>
      </w:r>
    </w:p>
    <w:p w14:paraId="05AAA2A5" w14:textId="5F01A293" w:rsidR="001D2BF4" w:rsidRPr="00AD7A6C" w:rsidRDefault="001D2BF4" w:rsidP="006E69D2">
      <w:pPr>
        <w:spacing w:after="0"/>
        <w:ind w:left="720"/>
        <w:jc w:val="both"/>
        <w:rPr>
          <w:rFonts w:ascii="Footlight MT Light" w:hAnsi="Footlight MT Light"/>
          <w:sz w:val="24"/>
          <w:szCs w:val="24"/>
        </w:rPr>
      </w:pPr>
      <w:r w:rsidRPr="00AD7A6C">
        <w:rPr>
          <w:rFonts w:ascii="Footlight MT Light" w:hAnsi="Footlight MT Light"/>
          <w:sz w:val="24"/>
          <w:szCs w:val="24"/>
        </w:rPr>
        <w:t>Post PIA, equity crude proceeds which constitute major source of revenue to the Federation, will no longer flow to the Federation.</w:t>
      </w:r>
    </w:p>
    <w:p w14:paraId="5E905F9A" w14:textId="77777777" w:rsidR="001D2BF4" w:rsidRPr="00AD7A6C" w:rsidRDefault="001D2BF4" w:rsidP="006E69D2">
      <w:pPr>
        <w:spacing w:after="0"/>
        <w:ind w:left="720"/>
        <w:jc w:val="both"/>
        <w:rPr>
          <w:rFonts w:ascii="Footlight MT Light" w:hAnsi="Footlight MT Light"/>
          <w:sz w:val="24"/>
          <w:szCs w:val="24"/>
        </w:rPr>
      </w:pPr>
    </w:p>
    <w:p w14:paraId="34549EBB" w14:textId="196443B6" w:rsidR="001D2BF4" w:rsidRPr="00AD7A6C" w:rsidRDefault="001D2BF4" w:rsidP="006E69D2">
      <w:pPr>
        <w:spacing w:after="0"/>
        <w:ind w:left="720" w:hanging="720"/>
        <w:jc w:val="both"/>
        <w:rPr>
          <w:rFonts w:ascii="Footlight MT Light" w:hAnsi="Footlight MT Light"/>
          <w:b/>
          <w:bCs/>
          <w:sz w:val="24"/>
          <w:szCs w:val="24"/>
        </w:rPr>
      </w:pPr>
      <w:r w:rsidRPr="00AD7A6C">
        <w:rPr>
          <w:rFonts w:ascii="Footlight MT Light" w:hAnsi="Footlight MT Light"/>
          <w:b/>
          <w:bCs/>
          <w:sz w:val="24"/>
          <w:szCs w:val="24"/>
        </w:rPr>
        <w:t>4.15</w:t>
      </w:r>
      <w:r w:rsidRPr="00AD7A6C">
        <w:rPr>
          <w:rFonts w:ascii="Footlight MT Light" w:hAnsi="Footlight MT Light"/>
          <w:b/>
          <w:bCs/>
          <w:sz w:val="24"/>
          <w:szCs w:val="24"/>
        </w:rPr>
        <w:tab/>
        <w:t>Proceeds from Sale of Feedstock:</w:t>
      </w:r>
      <w:r w:rsidR="00C54E54" w:rsidRPr="00AD7A6C">
        <w:rPr>
          <w:rFonts w:ascii="Footlight MT Light" w:hAnsi="Footlight MT Light"/>
          <w:b/>
          <w:bCs/>
          <w:sz w:val="24"/>
          <w:szCs w:val="24"/>
        </w:rPr>
        <w:t xml:space="preserve"> NNPLC</w:t>
      </w:r>
    </w:p>
    <w:p w14:paraId="7E2E4C5C" w14:textId="7773E63D" w:rsidR="001D2BF4" w:rsidRPr="00AD7A6C" w:rsidRDefault="001D2BF4" w:rsidP="006E69D2">
      <w:pPr>
        <w:spacing w:after="0"/>
        <w:ind w:left="720" w:hanging="720"/>
        <w:jc w:val="both"/>
        <w:rPr>
          <w:rFonts w:ascii="Footlight MT Light" w:hAnsi="Footlight MT Light"/>
          <w:sz w:val="24"/>
          <w:szCs w:val="24"/>
        </w:rPr>
      </w:pPr>
      <w:r w:rsidRPr="00AD7A6C">
        <w:rPr>
          <w:rFonts w:ascii="Footlight MT Light" w:hAnsi="Footlight MT Light"/>
          <w:sz w:val="24"/>
          <w:szCs w:val="24"/>
        </w:rPr>
        <w:tab/>
        <w:t>These are revenues from the sale of the Federation Feedstock equity entitlement from JV operations to oil and gas companies in the downstream sector.</w:t>
      </w:r>
    </w:p>
    <w:p w14:paraId="0286DDD6" w14:textId="77777777" w:rsidR="001D2BF4" w:rsidRPr="00AD7A6C" w:rsidRDefault="001D2BF4" w:rsidP="006E69D2">
      <w:pPr>
        <w:spacing w:after="0"/>
        <w:ind w:firstLine="720"/>
        <w:jc w:val="both"/>
        <w:rPr>
          <w:rFonts w:ascii="Footlight MT Light" w:hAnsi="Footlight MT Light"/>
          <w:sz w:val="24"/>
          <w:szCs w:val="24"/>
        </w:rPr>
      </w:pPr>
    </w:p>
    <w:p w14:paraId="33BFFA2D" w14:textId="34A912EC" w:rsidR="001D2BF4" w:rsidRPr="00AD7A6C" w:rsidRDefault="001D2BF4" w:rsidP="006E69D2">
      <w:pPr>
        <w:spacing w:after="0"/>
        <w:ind w:left="720" w:hanging="720"/>
        <w:jc w:val="both"/>
        <w:rPr>
          <w:rFonts w:ascii="Footlight MT Light" w:hAnsi="Footlight MT Light"/>
          <w:b/>
          <w:bCs/>
          <w:sz w:val="24"/>
          <w:szCs w:val="24"/>
        </w:rPr>
      </w:pPr>
      <w:r w:rsidRPr="00AD7A6C">
        <w:rPr>
          <w:rFonts w:ascii="Footlight MT Light" w:hAnsi="Footlight MT Light"/>
          <w:b/>
          <w:bCs/>
          <w:sz w:val="24"/>
          <w:szCs w:val="24"/>
        </w:rPr>
        <w:t>4.16</w:t>
      </w:r>
      <w:r w:rsidRPr="00AD7A6C">
        <w:rPr>
          <w:rFonts w:ascii="Footlight MT Light" w:hAnsi="Footlight MT Light"/>
          <w:b/>
          <w:bCs/>
          <w:sz w:val="24"/>
          <w:szCs w:val="24"/>
        </w:rPr>
        <w:tab/>
        <w:t xml:space="preserve">Dividends from NNPC Limited Profit (formerly NNPC Oil and Gas Profit): </w:t>
      </w:r>
      <w:r w:rsidR="00C54E54" w:rsidRPr="00AD7A6C">
        <w:rPr>
          <w:rFonts w:ascii="Footlight MT Light" w:hAnsi="Footlight MT Light"/>
          <w:b/>
          <w:bCs/>
          <w:sz w:val="24"/>
          <w:szCs w:val="24"/>
        </w:rPr>
        <w:t>NNPLC</w:t>
      </w:r>
    </w:p>
    <w:p w14:paraId="0B0D64AF" w14:textId="51B4E472" w:rsidR="009E5197" w:rsidRPr="00AD7A6C" w:rsidRDefault="001D2BF4" w:rsidP="006E69D2">
      <w:pPr>
        <w:spacing w:after="0"/>
        <w:ind w:left="720"/>
        <w:jc w:val="both"/>
        <w:rPr>
          <w:rFonts w:ascii="Footlight MT Light" w:hAnsi="Footlight MT Light"/>
          <w:sz w:val="24"/>
          <w:szCs w:val="24"/>
        </w:rPr>
      </w:pPr>
      <w:r w:rsidRPr="00AD7A6C">
        <w:rPr>
          <w:rFonts w:ascii="Footlight MT Light" w:hAnsi="Footlight MT Light"/>
          <w:sz w:val="24"/>
          <w:szCs w:val="24"/>
        </w:rPr>
        <w:t>Dividends are payments made to stakeholders of an organization, NNPC limited sends dividends to the federation from all profits made from oil and gas</w:t>
      </w:r>
      <w:r w:rsidR="00C54E54" w:rsidRPr="00AD7A6C">
        <w:rPr>
          <w:rFonts w:ascii="Footlight MT Light" w:hAnsi="Footlight MT Light"/>
          <w:sz w:val="24"/>
          <w:szCs w:val="24"/>
        </w:rPr>
        <w:t>.</w:t>
      </w:r>
    </w:p>
    <w:p w14:paraId="0F45EB0B" w14:textId="77777777" w:rsidR="009E5197" w:rsidRPr="00AD7A6C" w:rsidRDefault="009E5197" w:rsidP="006E69D2">
      <w:pPr>
        <w:spacing w:after="0"/>
        <w:jc w:val="both"/>
        <w:rPr>
          <w:rFonts w:ascii="Footlight MT Light" w:hAnsi="Footlight MT Light"/>
          <w:b/>
          <w:bCs/>
          <w:sz w:val="24"/>
          <w:szCs w:val="24"/>
        </w:rPr>
      </w:pPr>
    </w:p>
    <w:p w14:paraId="544B02A5" w14:textId="48E2920A" w:rsidR="00C54E54" w:rsidRPr="00AD7A6C" w:rsidRDefault="009E5197" w:rsidP="006E69D2">
      <w:pPr>
        <w:spacing w:after="0"/>
        <w:jc w:val="both"/>
        <w:rPr>
          <w:rFonts w:ascii="Footlight MT Light" w:hAnsi="Footlight MT Light"/>
          <w:b/>
          <w:bCs/>
          <w:sz w:val="24"/>
          <w:szCs w:val="24"/>
        </w:rPr>
      </w:pPr>
      <w:r w:rsidRPr="00AD7A6C">
        <w:rPr>
          <w:rFonts w:ascii="Footlight MT Light" w:hAnsi="Footlight MT Light"/>
          <w:b/>
          <w:bCs/>
          <w:sz w:val="24"/>
          <w:szCs w:val="24"/>
        </w:rPr>
        <w:t>4.1</w:t>
      </w:r>
      <w:r w:rsidR="00C54E54" w:rsidRPr="00AD7A6C">
        <w:rPr>
          <w:rFonts w:ascii="Footlight MT Light" w:hAnsi="Footlight MT Light"/>
          <w:b/>
          <w:bCs/>
          <w:sz w:val="24"/>
          <w:szCs w:val="24"/>
        </w:rPr>
        <w:t>7</w:t>
      </w:r>
      <w:r w:rsidR="00C54E54" w:rsidRPr="00AD7A6C">
        <w:rPr>
          <w:rFonts w:ascii="Footlight MT Light" w:hAnsi="Footlight MT Light"/>
          <w:b/>
          <w:bCs/>
          <w:sz w:val="24"/>
          <w:szCs w:val="24"/>
        </w:rPr>
        <w:tab/>
        <w:t>Miscellaneous Income: NNPLC</w:t>
      </w:r>
    </w:p>
    <w:p w14:paraId="2953C061" w14:textId="6914772A" w:rsidR="00C54E54" w:rsidRPr="00AD7A6C" w:rsidRDefault="00C54E54" w:rsidP="006E69D2">
      <w:pPr>
        <w:spacing w:after="0"/>
        <w:ind w:left="720"/>
        <w:jc w:val="both"/>
        <w:rPr>
          <w:rFonts w:ascii="Footlight MT Light" w:hAnsi="Footlight MT Light"/>
          <w:sz w:val="24"/>
          <w:szCs w:val="24"/>
        </w:rPr>
      </w:pPr>
      <w:r w:rsidRPr="00AD7A6C">
        <w:rPr>
          <w:rFonts w:ascii="Footlight MT Light" w:hAnsi="Footlight MT Light"/>
          <w:sz w:val="24"/>
          <w:szCs w:val="24"/>
        </w:rPr>
        <w:t>This includes bank interest receipts, insurance claims and other share of revenue from the oil and gas sector.</w:t>
      </w:r>
    </w:p>
    <w:p w14:paraId="00C38D68" w14:textId="77777777" w:rsidR="00C54E54" w:rsidRPr="00AD7A6C" w:rsidRDefault="00C54E54" w:rsidP="006E69D2">
      <w:pPr>
        <w:spacing w:after="0"/>
        <w:ind w:left="720"/>
        <w:jc w:val="both"/>
        <w:rPr>
          <w:rFonts w:ascii="Footlight MT Light" w:hAnsi="Footlight MT Light"/>
          <w:b/>
          <w:bCs/>
          <w:sz w:val="24"/>
          <w:szCs w:val="24"/>
        </w:rPr>
      </w:pPr>
    </w:p>
    <w:p w14:paraId="74A04A38" w14:textId="6D267E09" w:rsidR="00C54E54" w:rsidRPr="00AD7A6C" w:rsidRDefault="00C54E54" w:rsidP="006E69D2">
      <w:pPr>
        <w:spacing w:after="0"/>
        <w:jc w:val="both"/>
        <w:rPr>
          <w:rFonts w:ascii="Footlight MT Light" w:hAnsi="Footlight MT Light"/>
          <w:b/>
          <w:bCs/>
          <w:sz w:val="24"/>
          <w:szCs w:val="24"/>
        </w:rPr>
      </w:pPr>
      <w:r w:rsidRPr="00AD7A6C">
        <w:rPr>
          <w:rFonts w:ascii="Footlight MT Light" w:hAnsi="Footlight MT Light"/>
          <w:b/>
          <w:bCs/>
          <w:sz w:val="24"/>
          <w:szCs w:val="24"/>
        </w:rPr>
        <w:t>4.18</w:t>
      </w:r>
      <w:r w:rsidRPr="00AD7A6C">
        <w:rPr>
          <w:rFonts w:ascii="Footlight MT Light" w:hAnsi="Footlight MT Light"/>
          <w:b/>
          <w:bCs/>
          <w:sz w:val="24"/>
          <w:szCs w:val="24"/>
        </w:rPr>
        <w:tab/>
        <w:t>Incidental Oil Revenue: NNPLC</w:t>
      </w:r>
    </w:p>
    <w:p w14:paraId="429A09E7" w14:textId="01488C27" w:rsidR="00C54E54" w:rsidRPr="00AD7A6C" w:rsidRDefault="00C54E54" w:rsidP="006E69D2">
      <w:pPr>
        <w:spacing w:after="0"/>
        <w:ind w:left="720"/>
        <w:jc w:val="both"/>
        <w:rPr>
          <w:rFonts w:ascii="Footlight MT Light" w:hAnsi="Footlight MT Light"/>
          <w:sz w:val="24"/>
          <w:szCs w:val="24"/>
        </w:rPr>
      </w:pPr>
      <w:r w:rsidRPr="00AD7A6C">
        <w:rPr>
          <w:rFonts w:ascii="Footlight MT Light" w:hAnsi="Footlight MT Light"/>
          <w:sz w:val="24"/>
          <w:szCs w:val="24"/>
        </w:rPr>
        <w:t>These are unplanned revenues from the oil and gas sector. They include</w:t>
      </w:r>
    </w:p>
    <w:p w14:paraId="40861423" w14:textId="77777777" w:rsidR="00C54E54" w:rsidRPr="00AD7A6C" w:rsidRDefault="00C54E54" w:rsidP="006E69D2">
      <w:pPr>
        <w:pStyle w:val="ListParagraph"/>
        <w:numPr>
          <w:ilvl w:val="1"/>
          <w:numId w:val="26"/>
        </w:numPr>
        <w:spacing w:after="0"/>
        <w:jc w:val="both"/>
        <w:rPr>
          <w:rFonts w:ascii="Footlight MT Light" w:hAnsi="Footlight MT Light"/>
          <w:sz w:val="24"/>
          <w:szCs w:val="24"/>
        </w:rPr>
      </w:pPr>
      <w:r w:rsidRPr="00AD7A6C">
        <w:rPr>
          <w:rFonts w:ascii="Footlight MT Light" w:hAnsi="Footlight MT Light"/>
          <w:sz w:val="24"/>
          <w:szCs w:val="24"/>
        </w:rPr>
        <w:t>Good and valuable consideration of divested assets</w:t>
      </w:r>
    </w:p>
    <w:p w14:paraId="2F30EE12" w14:textId="2518D28D" w:rsidR="00C54E54" w:rsidRPr="00AD7A6C" w:rsidRDefault="00C54E54" w:rsidP="006E69D2">
      <w:pPr>
        <w:pStyle w:val="ListParagraph"/>
        <w:numPr>
          <w:ilvl w:val="1"/>
          <w:numId w:val="26"/>
        </w:numPr>
        <w:spacing w:after="0"/>
        <w:jc w:val="both"/>
        <w:rPr>
          <w:rFonts w:ascii="Footlight MT Light" w:hAnsi="Footlight MT Light"/>
          <w:sz w:val="24"/>
          <w:szCs w:val="24"/>
        </w:rPr>
      </w:pPr>
      <w:r w:rsidRPr="00AD7A6C">
        <w:rPr>
          <w:rFonts w:ascii="Footlight MT Light" w:hAnsi="Footlight MT Light"/>
          <w:sz w:val="24"/>
          <w:szCs w:val="24"/>
        </w:rPr>
        <w:t>Lease renewal Bonuses etc.</w:t>
      </w:r>
    </w:p>
    <w:p w14:paraId="1D5A44FB" w14:textId="77777777" w:rsidR="00C54E54" w:rsidRPr="00AD7A6C" w:rsidRDefault="00C54E54" w:rsidP="006E69D2">
      <w:pPr>
        <w:spacing w:after="0"/>
        <w:jc w:val="both"/>
        <w:rPr>
          <w:rFonts w:ascii="Footlight MT Light" w:hAnsi="Footlight MT Light"/>
          <w:b/>
          <w:bCs/>
          <w:sz w:val="24"/>
          <w:szCs w:val="24"/>
        </w:rPr>
      </w:pPr>
    </w:p>
    <w:p w14:paraId="291FADD4" w14:textId="1E629262" w:rsidR="00C54E54" w:rsidRPr="00AD7A6C" w:rsidRDefault="00C54E54" w:rsidP="006E69D2">
      <w:pPr>
        <w:spacing w:after="0"/>
        <w:jc w:val="both"/>
        <w:rPr>
          <w:rFonts w:ascii="Footlight MT Light" w:hAnsi="Footlight MT Light"/>
          <w:b/>
          <w:bCs/>
          <w:sz w:val="24"/>
          <w:szCs w:val="24"/>
        </w:rPr>
      </w:pPr>
      <w:r w:rsidRPr="00AD7A6C">
        <w:rPr>
          <w:rFonts w:ascii="Footlight MT Light" w:hAnsi="Footlight MT Light"/>
          <w:b/>
          <w:bCs/>
          <w:sz w:val="24"/>
          <w:szCs w:val="24"/>
        </w:rPr>
        <w:t>4.18</w:t>
      </w:r>
      <w:r w:rsidRPr="00AD7A6C">
        <w:rPr>
          <w:rFonts w:ascii="Footlight MT Light" w:hAnsi="Footlight MT Light"/>
          <w:b/>
          <w:bCs/>
          <w:sz w:val="24"/>
          <w:szCs w:val="24"/>
        </w:rPr>
        <w:tab/>
        <w:t xml:space="preserve">Domestic </w:t>
      </w:r>
      <w:r w:rsidR="00E3430B" w:rsidRPr="00AD7A6C">
        <w:rPr>
          <w:rFonts w:ascii="Footlight MT Light" w:hAnsi="Footlight MT Light"/>
          <w:b/>
          <w:bCs/>
          <w:sz w:val="24"/>
          <w:szCs w:val="24"/>
        </w:rPr>
        <w:t>G</w:t>
      </w:r>
      <w:r w:rsidRPr="00AD7A6C">
        <w:rPr>
          <w:rFonts w:ascii="Footlight MT Light" w:hAnsi="Footlight MT Light"/>
          <w:b/>
          <w:bCs/>
          <w:sz w:val="24"/>
          <w:szCs w:val="24"/>
        </w:rPr>
        <w:t xml:space="preserve">as </w:t>
      </w:r>
      <w:r w:rsidR="00E3430B" w:rsidRPr="00AD7A6C">
        <w:rPr>
          <w:rFonts w:ascii="Footlight MT Light" w:hAnsi="Footlight MT Light"/>
          <w:b/>
          <w:bCs/>
          <w:sz w:val="24"/>
          <w:szCs w:val="24"/>
        </w:rPr>
        <w:t>D</w:t>
      </w:r>
      <w:r w:rsidRPr="00AD7A6C">
        <w:rPr>
          <w:rFonts w:ascii="Footlight MT Light" w:hAnsi="Footlight MT Light"/>
          <w:b/>
          <w:bCs/>
          <w:sz w:val="24"/>
          <w:szCs w:val="24"/>
        </w:rPr>
        <w:t xml:space="preserve">elivery </w:t>
      </w:r>
      <w:r w:rsidR="00E3430B" w:rsidRPr="00AD7A6C">
        <w:rPr>
          <w:rFonts w:ascii="Footlight MT Light" w:hAnsi="Footlight MT Light"/>
          <w:b/>
          <w:bCs/>
          <w:sz w:val="24"/>
          <w:szCs w:val="24"/>
        </w:rPr>
        <w:t>P</w:t>
      </w:r>
      <w:r w:rsidRPr="00AD7A6C">
        <w:rPr>
          <w:rFonts w:ascii="Footlight MT Light" w:hAnsi="Footlight MT Light"/>
          <w:b/>
          <w:bCs/>
          <w:sz w:val="24"/>
          <w:szCs w:val="24"/>
        </w:rPr>
        <w:t xml:space="preserve">enalty: </w:t>
      </w:r>
      <w:r w:rsidR="005C510D" w:rsidRPr="00AD7A6C">
        <w:rPr>
          <w:rFonts w:ascii="Footlight MT Light" w:hAnsi="Footlight MT Light"/>
          <w:b/>
          <w:bCs/>
          <w:sz w:val="24"/>
          <w:szCs w:val="24"/>
        </w:rPr>
        <w:t>NUPRC</w:t>
      </w:r>
      <w:r w:rsidRPr="00AD7A6C">
        <w:rPr>
          <w:rFonts w:ascii="Footlight MT Light" w:hAnsi="Footlight MT Light"/>
          <w:b/>
          <w:bCs/>
          <w:sz w:val="24"/>
          <w:szCs w:val="24"/>
        </w:rPr>
        <w:tab/>
      </w:r>
    </w:p>
    <w:p w14:paraId="0329FB90" w14:textId="5924499C" w:rsidR="00C54E54" w:rsidRPr="00AD7A6C" w:rsidRDefault="00C54E54" w:rsidP="006E69D2">
      <w:pPr>
        <w:spacing w:after="0"/>
        <w:ind w:left="720"/>
        <w:jc w:val="both"/>
        <w:rPr>
          <w:rFonts w:ascii="Footlight MT Light" w:hAnsi="Footlight MT Light"/>
          <w:sz w:val="24"/>
          <w:szCs w:val="24"/>
        </w:rPr>
      </w:pPr>
      <w:r w:rsidRPr="00AD7A6C">
        <w:rPr>
          <w:rFonts w:ascii="Footlight MT Light" w:hAnsi="Footlight MT Light"/>
          <w:sz w:val="24"/>
          <w:szCs w:val="24"/>
        </w:rPr>
        <w:t>It is a penalty imposed on the lessee for failure to comply with the domestic gas delivery obligation. The penalty is $3.50 per MMBtu of gas not delivered, which may be adjusted by the Commission as provided for in the PIA.</w:t>
      </w:r>
    </w:p>
    <w:p w14:paraId="4D290D1C" w14:textId="77777777" w:rsidR="00C54E54" w:rsidRPr="00AD7A6C" w:rsidRDefault="00C54E54" w:rsidP="006E69D2">
      <w:pPr>
        <w:spacing w:after="0"/>
        <w:jc w:val="both"/>
        <w:rPr>
          <w:rFonts w:ascii="Footlight MT Light" w:hAnsi="Footlight MT Light"/>
          <w:b/>
          <w:bCs/>
          <w:sz w:val="24"/>
          <w:szCs w:val="24"/>
        </w:rPr>
      </w:pPr>
    </w:p>
    <w:p w14:paraId="6DF0AB33" w14:textId="5707B0DC" w:rsidR="005C510D" w:rsidRPr="00AD7A6C" w:rsidRDefault="005C510D" w:rsidP="006E69D2">
      <w:pPr>
        <w:spacing w:after="0"/>
        <w:jc w:val="both"/>
        <w:rPr>
          <w:rFonts w:ascii="Footlight MT Light" w:hAnsi="Footlight MT Light"/>
          <w:b/>
          <w:bCs/>
          <w:sz w:val="24"/>
          <w:szCs w:val="24"/>
        </w:rPr>
      </w:pPr>
      <w:r w:rsidRPr="00AD7A6C">
        <w:rPr>
          <w:rFonts w:ascii="Footlight MT Light" w:hAnsi="Footlight MT Light"/>
          <w:b/>
          <w:bCs/>
          <w:sz w:val="24"/>
          <w:szCs w:val="24"/>
        </w:rPr>
        <w:t>4.19</w:t>
      </w:r>
      <w:r w:rsidRPr="00AD7A6C">
        <w:rPr>
          <w:rFonts w:ascii="Footlight MT Light" w:hAnsi="Footlight MT Light"/>
          <w:b/>
          <w:bCs/>
          <w:sz w:val="24"/>
          <w:szCs w:val="24"/>
        </w:rPr>
        <w:tab/>
      </w:r>
      <w:r w:rsidR="00C54E54" w:rsidRPr="00AD7A6C">
        <w:rPr>
          <w:rFonts w:ascii="Footlight MT Light" w:hAnsi="Footlight MT Light"/>
          <w:b/>
          <w:bCs/>
          <w:sz w:val="24"/>
          <w:szCs w:val="24"/>
        </w:rPr>
        <w:t xml:space="preserve">Interest and </w:t>
      </w:r>
      <w:r w:rsidR="00E3430B" w:rsidRPr="00AD7A6C">
        <w:rPr>
          <w:rFonts w:ascii="Footlight MT Light" w:hAnsi="Footlight MT Light"/>
          <w:b/>
          <w:bCs/>
          <w:sz w:val="24"/>
          <w:szCs w:val="24"/>
        </w:rPr>
        <w:t>P</w:t>
      </w:r>
      <w:r w:rsidR="00C54E54" w:rsidRPr="00AD7A6C">
        <w:rPr>
          <w:rFonts w:ascii="Footlight MT Light" w:hAnsi="Footlight MT Light"/>
          <w:b/>
          <w:bCs/>
          <w:sz w:val="24"/>
          <w:szCs w:val="24"/>
        </w:rPr>
        <w:t xml:space="preserve">enalty on </w:t>
      </w:r>
      <w:r w:rsidR="00E3430B" w:rsidRPr="00AD7A6C">
        <w:rPr>
          <w:rFonts w:ascii="Footlight MT Light" w:hAnsi="Footlight MT Light"/>
          <w:b/>
          <w:bCs/>
          <w:sz w:val="24"/>
          <w:szCs w:val="24"/>
        </w:rPr>
        <w:t>D</w:t>
      </w:r>
      <w:r w:rsidR="00C54E54" w:rsidRPr="00AD7A6C">
        <w:rPr>
          <w:rFonts w:ascii="Footlight MT Light" w:hAnsi="Footlight MT Light"/>
          <w:b/>
          <w:bCs/>
          <w:sz w:val="24"/>
          <w:szCs w:val="24"/>
        </w:rPr>
        <w:t>ebt</w:t>
      </w:r>
      <w:r w:rsidRPr="00AD7A6C">
        <w:rPr>
          <w:rFonts w:ascii="Footlight MT Light" w:hAnsi="Footlight MT Light"/>
          <w:b/>
          <w:bCs/>
          <w:sz w:val="24"/>
          <w:szCs w:val="24"/>
        </w:rPr>
        <w:t xml:space="preserve">: </w:t>
      </w:r>
      <w:r w:rsidR="00767731" w:rsidRPr="00AD7A6C">
        <w:rPr>
          <w:rFonts w:ascii="Footlight MT Light" w:hAnsi="Footlight MT Light"/>
          <w:b/>
          <w:bCs/>
          <w:sz w:val="24"/>
          <w:szCs w:val="24"/>
        </w:rPr>
        <w:t>NUPRC</w:t>
      </w:r>
    </w:p>
    <w:p w14:paraId="0D1237AD" w14:textId="2F6A1991" w:rsidR="009E5197" w:rsidRPr="00AD7A6C" w:rsidRDefault="005C510D" w:rsidP="006E69D2">
      <w:pPr>
        <w:spacing w:after="0"/>
        <w:ind w:left="720"/>
        <w:jc w:val="both"/>
        <w:rPr>
          <w:rFonts w:ascii="Footlight MT Light" w:hAnsi="Footlight MT Light"/>
          <w:sz w:val="24"/>
          <w:szCs w:val="24"/>
        </w:rPr>
      </w:pPr>
      <w:r w:rsidRPr="00AD7A6C">
        <w:rPr>
          <w:rFonts w:ascii="Footlight MT Light" w:hAnsi="Footlight MT Light"/>
          <w:sz w:val="24"/>
          <w:szCs w:val="24"/>
        </w:rPr>
        <w:t xml:space="preserve">It </w:t>
      </w:r>
      <w:r w:rsidR="00C54E54" w:rsidRPr="00AD7A6C">
        <w:rPr>
          <w:rFonts w:ascii="Footlight MT Light" w:hAnsi="Footlight MT Light"/>
          <w:sz w:val="24"/>
          <w:szCs w:val="24"/>
        </w:rPr>
        <w:t>is the interest penalty at the prevailing CBN rate accrued on outstanding royalties, fees, rents, production</w:t>
      </w:r>
      <w:r w:rsidRPr="00AD7A6C">
        <w:rPr>
          <w:rFonts w:ascii="Footlight MT Light" w:hAnsi="Footlight MT Light"/>
          <w:sz w:val="24"/>
          <w:szCs w:val="24"/>
        </w:rPr>
        <w:t>,</w:t>
      </w:r>
      <w:r w:rsidR="00C54E54" w:rsidRPr="00AD7A6C">
        <w:rPr>
          <w:rFonts w:ascii="Footlight MT Light" w:hAnsi="Footlight MT Light"/>
          <w:sz w:val="24"/>
          <w:szCs w:val="24"/>
        </w:rPr>
        <w:t xml:space="preserve"> or profit shares or required payments to the </w:t>
      </w:r>
      <w:r w:rsidRPr="00AD7A6C">
        <w:rPr>
          <w:rFonts w:ascii="Footlight MT Light" w:hAnsi="Footlight MT Light"/>
          <w:sz w:val="24"/>
          <w:szCs w:val="24"/>
        </w:rPr>
        <w:t>C</w:t>
      </w:r>
      <w:r w:rsidR="00C54E54" w:rsidRPr="00AD7A6C">
        <w:rPr>
          <w:rFonts w:ascii="Footlight MT Light" w:hAnsi="Footlight MT Light"/>
          <w:sz w:val="24"/>
          <w:szCs w:val="24"/>
        </w:rPr>
        <w:t>ommission on behalf of the Federation, which are due and remain unpaid for a period of 30 days after it becomes due for payment.</w:t>
      </w:r>
    </w:p>
    <w:p w14:paraId="229A29D7" w14:textId="77777777" w:rsidR="006A679B" w:rsidRPr="00AD7A6C" w:rsidRDefault="006A679B" w:rsidP="006E69D2">
      <w:pPr>
        <w:spacing w:after="0"/>
        <w:ind w:left="720"/>
        <w:jc w:val="both"/>
        <w:rPr>
          <w:rFonts w:ascii="Footlight MT Light" w:hAnsi="Footlight MT Light"/>
          <w:sz w:val="24"/>
          <w:szCs w:val="24"/>
        </w:rPr>
      </w:pPr>
    </w:p>
    <w:p w14:paraId="3B7429F6" w14:textId="77777777" w:rsidR="006A679B" w:rsidRPr="00AD7A6C" w:rsidRDefault="006A679B" w:rsidP="006E69D2">
      <w:pPr>
        <w:spacing w:after="0"/>
        <w:ind w:left="720"/>
        <w:jc w:val="both"/>
        <w:rPr>
          <w:rFonts w:ascii="Footlight MT Light" w:hAnsi="Footlight MT Light"/>
          <w:sz w:val="24"/>
          <w:szCs w:val="24"/>
        </w:rPr>
      </w:pPr>
    </w:p>
    <w:p w14:paraId="6251EB3F" w14:textId="77777777" w:rsidR="006A679B" w:rsidRPr="00AD7A6C" w:rsidRDefault="006A679B" w:rsidP="006E69D2">
      <w:pPr>
        <w:spacing w:after="0"/>
        <w:ind w:left="720"/>
        <w:jc w:val="both"/>
        <w:rPr>
          <w:rFonts w:ascii="Footlight MT Light" w:hAnsi="Footlight MT Light"/>
          <w:sz w:val="24"/>
          <w:szCs w:val="24"/>
        </w:rPr>
      </w:pPr>
    </w:p>
    <w:p w14:paraId="031417B4" w14:textId="77777777" w:rsidR="00796C8D" w:rsidRPr="00AD7A6C" w:rsidRDefault="00796C8D" w:rsidP="006E69D2">
      <w:pPr>
        <w:spacing w:after="0"/>
        <w:jc w:val="both"/>
        <w:rPr>
          <w:rFonts w:ascii="Footlight MT Light" w:hAnsi="Footlight MT Light"/>
          <w:sz w:val="24"/>
          <w:szCs w:val="24"/>
        </w:rPr>
      </w:pPr>
    </w:p>
    <w:p w14:paraId="6ADD1090" w14:textId="77777777" w:rsidR="006A679B" w:rsidRPr="00AD7A6C" w:rsidRDefault="006A679B" w:rsidP="006E69D2">
      <w:pPr>
        <w:spacing w:after="0"/>
        <w:jc w:val="both"/>
        <w:rPr>
          <w:rFonts w:ascii="Footlight MT Light" w:hAnsi="Footlight MT Light"/>
          <w:sz w:val="24"/>
          <w:szCs w:val="24"/>
        </w:rPr>
      </w:pPr>
      <w:r w:rsidRPr="00AD7A6C">
        <w:rPr>
          <w:rFonts w:ascii="Footlight MT Light" w:hAnsi="Footlight MT Light"/>
          <w:b/>
          <w:bCs/>
          <w:sz w:val="24"/>
          <w:szCs w:val="24"/>
        </w:rPr>
        <w:lastRenderedPageBreak/>
        <w:t>4.20</w:t>
      </w:r>
      <w:r w:rsidRPr="00AD7A6C">
        <w:rPr>
          <w:rFonts w:ascii="Footlight MT Light" w:hAnsi="Footlight MT Light"/>
          <w:b/>
          <w:bCs/>
          <w:sz w:val="24"/>
          <w:szCs w:val="24"/>
        </w:rPr>
        <w:tab/>
        <w:t>Electronic Money Transfer Levy (EMTL): FIRS</w:t>
      </w:r>
    </w:p>
    <w:p w14:paraId="558F3E90" w14:textId="32C04FA3" w:rsidR="00843F16" w:rsidRPr="00AD7A6C" w:rsidRDefault="006A679B" w:rsidP="006E69D2">
      <w:pPr>
        <w:spacing w:after="0"/>
        <w:ind w:left="720"/>
        <w:jc w:val="both"/>
        <w:rPr>
          <w:rFonts w:ascii="Footlight MT Light" w:hAnsi="Footlight MT Light"/>
          <w:sz w:val="24"/>
          <w:szCs w:val="24"/>
        </w:rPr>
      </w:pPr>
      <w:r w:rsidRPr="00AD7A6C">
        <w:rPr>
          <w:rFonts w:ascii="Footlight MT Light" w:hAnsi="Footlight MT Light"/>
          <w:sz w:val="24"/>
          <w:szCs w:val="24"/>
        </w:rPr>
        <w:t xml:space="preserve">This is a levy imposed on recipients of any electronic receipts or transfers of N10,000 or above on any type of account. The revenue </w:t>
      </w:r>
      <w:r w:rsidR="003D6F07" w:rsidRPr="00AD7A6C">
        <w:rPr>
          <w:rFonts w:ascii="Footlight MT Light" w:hAnsi="Footlight MT Light"/>
          <w:sz w:val="24"/>
          <w:szCs w:val="24"/>
        </w:rPr>
        <w:t xml:space="preserve">is </w:t>
      </w:r>
      <w:r w:rsidRPr="00AD7A6C">
        <w:rPr>
          <w:rFonts w:ascii="Footlight MT Light" w:hAnsi="Footlight MT Light"/>
          <w:sz w:val="24"/>
          <w:szCs w:val="24"/>
        </w:rPr>
        <w:t xml:space="preserve">remitted to the Federation </w:t>
      </w:r>
      <w:r w:rsidR="003D6F07" w:rsidRPr="00AD7A6C">
        <w:rPr>
          <w:rFonts w:ascii="Footlight MT Light" w:hAnsi="Footlight MT Light"/>
          <w:sz w:val="24"/>
          <w:szCs w:val="24"/>
        </w:rPr>
        <w:t>and</w:t>
      </w:r>
      <w:r w:rsidRPr="00AD7A6C">
        <w:rPr>
          <w:rFonts w:ascii="Footlight MT Light" w:hAnsi="Footlight MT Light"/>
          <w:sz w:val="24"/>
          <w:szCs w:val="24"/>
        </w:rPr>
        <w:t xml:space="preserve"> shared </w:t>
      </w:r>
      <w:r w:rsidR="003D6F07" w:rsidRPr="00AD7A6C">
        <w:rPr>
          <w:rFonts w:ascii="Footlight MT Light" w:hAnsi="Footlight MT Light"/>
          <w:sz w:val="24"/>
          <w:szCs w:val="24"/>
        </w:rPr>
        <w:t>between</w:t>
      </w:r>
      <w:r w:rsidRPr="00AD7A6C">
        <w:rPr>
          <w:rFonts w:ascii="Footlight MT Light" w:hAnsi="Footlight MT Light"/>
          <w:sz w:val="24"/>
          <w:szCs w:val="24"/>
        </w:rPr>
        <w:t xml:space="preserve"> the Federal, State &amp; Local governments.</w:t>
      </w:r>
    </w:p>
    <w:p w14:paraId="617727C7" w14:textId="77777777" w:rsidR="00767731" w:rsidRPr="00AD7A6C" w:rsidRDefault="00767731" w:rsidP="006E69D2">
      <w:pPr>
        <w:spacing w:after="0"/>
        <w:jc w:val="both"/>
        <w:rPr>
          <w:rFonts w:ascii="Footlight MT Light" w:hAnsi="Footlight MT Light"/>
          <w:sz w:val="24"/>
          <w:szCs w:val="24"/>
        </w:rPr>
      </w:pPr>
    </w:p>
    <w:p w14:paraId="2CE5F99A" w14:textId="77777777" w:rsidR="00D12EE5" w:rsidRPr="00AD7A6C" w:rsidRDefault="00D12EE5" w:rsidP="006E69D2">
      <w:pPr>
        <w:spacing w:after="0"/>
        <w:jc w:val="both"/>
        <w:rPr>
          <w:rFonts w:ascii="Footlight MT Light" w:hAnsi="Footlight MT Light"/>
          <w:sz w:val="24"/>
          <w:szCs w:val="24"/>
        </w:rPr>
      </w:pPr>
    </w:p>
    <w:p w14:paraId="28EEEB50" w14:textId="278B983C" w:rsidR="008559BC" w:rsidRPr="00AD7A6C" w:rsidRDefault="008559BC" w:rsidP="006E69D2">
      <w:pPr>
        <w:pStyle w:val="ListParagraph"/>
        <w:numPr>
          <w:ilvl w:val="0"/>
          <w:numId w:val="7"/>
        </w:numPr>
        <w:tabs>
          <w:tab w:val="left" w:pos="720"/>
        </w:tabs>
        <w:jc w:val="both"/>
        <w:rPr>
          <w:rFonts w:ascii="Footlight MT Light" w:hAnsi="Footlight MT Light"/>
          <w:b/>
          <w:bCs/>
          <w:sz w:val="24"/>
          <w:szCs w:val="24"/>
        </w:rPr>
      </w:pPr>
      <w:r w:rsidRPr="00AD7A6C">
        <w:rPr>
          <w:rFonts w:ascii="Footlight MT Light" w:hAnsi="Footlight MT Light"/>
          <w:b/>
          <w:bCs/>
          <w:sz w:val="24"/>
          <w:szCs w:val="24"/>
        </w:rPr>
        <w:t>Environmental, Social, and Economic Impact</w:t>
      </w:r>
    </w:p>
    <w:p w14:paraId="3C90CD7E" w14:textId="77777777" w:rsidR="00CD01EB" w:rsidRPr="00AD7A6C" w:rsidRDefault="00CD01EB" w:rsidP="006E69D2">
      <w:pPr>
        <w:pStyle w:val="ListParagraph"/>
        <w:jc w:val="both"/>
        <w:rPr>
          <w:rFonts w:ascii="Footlight MT Light" w:hAnsi="Footlight MT Light"/>
          <w:sz w:val="24"/>
          <w:szCs w:val="24"/>
        </w:rPr>
      </w:pPr>
    </w:p>
    <w:p w14:paraId="164565B4" w14:textId="6C0D2D43" w:rsidR="00675A4E" w:rsidRPr="00AD7A6C" w:rsidRDefault="00675A4E" w:rsidP="006E69D2">
      <w:pPr>
        <w:pStyle w:val="ListParagraph"/>
        <w:jc w:val="both"/>
        <w:rPr>
          <w:rFonts w:ascii="Footlight MT Light" w:hAnsi="Footlight MT Light"/>
          <w:sz w:val="24"/>
          <w:szCs w:val="24"/>
        </w:rPr>
      </w:pPr>
      <w:r w:rsidRPr="00AD7A6C">
        <w:rPr>
          <w:rFonts w:ascii="Footlight MT Light" w:hAnsi="Footlight MT Light"/>
          <w:sz w:val="24"/>
          <w:szCs w:val="24"/>
        </w:rPr>
        <w:t xml:space="preserve">Nigeria's extractive sector's environmental management is guided by a </w:t>
      </w:r>
      <w:r w:rsidR="00830824" w:rsidRPr="00AD7A6C">
        <w:rPr>
          <w:rFonts w:ascii="Footlight MT Light" w:hAnsi="Footlight MT Light"/>
          <w:sz w:val="24"/>
          <w:szCs w:val="24"/>
        </w:rPr>
        <w:t>collection</w:t>
      </w:r>
      <w:r w:rsidRPr="00AD7A6C">
        <w:rPr>
          <w:rFonts w:ascii="Footlight MT Light" w:hAnsi="Footlight MT Light"/>
          <w:sz w:val="24"/>
          <w:szCs w:val="24"/>
        </w:rPr>
        <w:t xml:space="preserve"> of laws, regulations, and practices. Key legal provisions include the Environmental Impact Assessment (EIA) Act</w:t>
      </w:r>
      <w:r w:rsidR="00FC3C40" w:rsidRPr="00AD7A6C">
        <w:rPr>
          <w:rFonts w:ascii="Footlight MT Light" w:hAnsi="Footlight MT Light"/>
          <w:sz w:val="24"/>
          <w:szCs w:val="24"/>
        </w:rPr>
        <w:t xml:space="preserve"> 1992</w:t>
      </w:r>
      <w:r w:rsidRPr="00AD7A6C">
        <w:rPr>
          <w:rFonts w:ascii="Footlight MT Light" w:hAnsi="Footlight MT Light"/>
          <w:sz w:val="24"/>
          <w:szCs w:val="24"/>
        </w:rPr>
        <w:t>, requiring environmental impact studies before project commencement</w:t>
      </w:r>
      <w:r w:rsidR="00CD01EB" w:rsidRPr="00AD7A6C">
        <w:rPr>
          <w:rFonts w:ascii="Footlight MT Light" w:hAnsi="Footlight MT Light"/>
          <w:sz w:val="24"/>
          <w:szCs w:val="24"/>
        </w:rPr>
        <w:t>.</w:t>
      </w:r>
      <w:r w:rsidR="00830824" w:rsidRPr="00AD7A6C">
        <w:rPr>
          <w:rFonts w:ascii="Footlight MT Light" w:hAnsi="Footlight MT Light"/>
          <w:sz w:val="24"/>
          <w:szCs w:val="24"/>
        </w:rPr>
        <w:t xml:space="preserve"> </w:t>
      </w:r>
    </w:p>
    <w:p w14:paraId="7F5B67FB" w14:textId="77777777" w:rsidR="00675A4E" w:rsidRPr="00AD7A6C" w:rsidRDefault="00675A4E" w:rsidP="006E69D2">
      <w:pPr>
        <w:pStyle w:val="ListParagraph"/>
        <w:jc w:val="both"/>
        <w:rPr>
          <w:rFonts w:ascii="Footlight MT Light" w:hAnsi="Footlight MT Light"/>
          <w:sz w:val="24"/>
          <w:szCs w:val="24"/>
        </w:rPr>
      </w:pPr>
    </w:p>
    <w:p w14:paraId="70B104DD" w14:textId="74860362" w:rsidR="00675A4E" w:rsidRPr="00AD7A6C" w:rsidRDefault="00675A4E" w:rsidP="006E69D2">
      <w:pPr>
        <w:pStyle w:val="ListParagraph"/>
        <w:jc w:val="both"/>
        <w:rPr>
          <w:rFonts w:ascii="Footlight MT Light" w:hAnsi="Footlight MT Light"/>
          <w:sz w:val="24"/>
          <w:szCs w:val="24"/>
        </w:rPr>
      </w:pPr>
      <w:r w:rsidRPr="00AD7A6C">
        <w:rPr>
          <w:rFonts w:ascii="Footlight MT Light" w:hAnsi="Footlight MT Light"/>
          <w:sz w:val="24"/>
          <w:szCs w:val="24"/>
        </w:rPr>
        <w:t>The Nigeria Upstream Petroleum Regulatory Commission (NUPRC)</w:t>
      </w:r>
      <w:r w:rsidR="00CD01EB" w:rsidRPr="00AD7A6C">
        <w:rPr>
          <w:rFonts w:ascii="Footlight MT Light" w:hAnsi="Footlight MT Light"/>
          <w:sz w:val="24"/>
          <w:szCs w:val="24"/>
        </w:rPr>
        <w:t>, Nigeria Midstream &amp; Downstream Petroleum Regulatory Authority (NMDPRA)</w:t>
      </w:r>
      <w:r w:rsidR="0067061B" w:rsidRPr="00AD7A6C">
        <w:rPr>
          <w:rFonts w:ascii="Footlight MT Light" w:hAnsi="Footlight MT Light"/>
          <w:sz w:val="24"/>
          <w:szCs w:val="24"/>
        </w:rPr>
        <w:t>, Ministry of Mines and Steel Development (MMSD)</w:t>
      </w:r>
      <w:r w:rsidRPr="00AD7A6C">
        <w:rPr>
          <w:rFonts w:ascii="Footlight MT Light" w:hAnsi="Footlight MT Light"/>
          <w:sz w:val="24"/>
          <w:szCs w:val="24"/>
        </w:rPr>
        <w:t xml:space="preserve"> and the Federal Ministry of Environment (FMEnv)</w:t>
      </w:r>
      <w:r w:rsidR="0067061B" w:rsidRPr="00AD7A6C">
        <w:rPr>
          <w:rFonts w:ascii="Footlight MT Light" w:hAnsi="Footlight MT Light"/>
          <w:sz w:val="24"/>
          <w:szCs w:val="24"/>
        </w:rPr>
        <w:t xml:space="preserve"> and their agencies</w:t>
      </w:r>
      <w:r w:rsidRPr="00AD7A6C">
        <w:rPr>
          <w:rFonts w:ascii="Footlight MT Light" w:hAnsi="Footlight MT Light"/>
          <w:sz w:val="24"/>
          <w:szCs w:val="24"/>
        </w:rPr>
        <w:t xml:space="preserve"> hold administrative oversight, issuing environmental approvals and setting pollution standards. </w:t>
      </w:r>
      <w:r w:rsidR="00CD01EB" w:rsidRPr="00AD7A6C">
        <w:rPr>
          <w:rFonts w:ascii="Footlight MT Light" w:hAnsi="Footlight MT Light"/>
          <w:sz w:val="24"/>
          <w:szCs w:val="24"/>
        </w:rPr>
        <w:t>These</w:t>
      </w:r>
      <w:r w:rsidRPr="00AD7A6C">
        <w:rPr>
          <w:rFonts w:ascii="Footlight MT Light" w:hAnsi="Footlight MT Light"/>
          <w:sz w:val="24"/>
          <w:szCs w:val="24"/>
        </w:rPr>
        <w:t xml:space="preserve"> agencies conduct environmental monitoring</w:t>
      </w:r>
      <w:r w:rsidR="00830824" w:rsidRPr="00AD7A6C">
        <w:rPr>
          <w:rFonts w:ascii="Footlight MT Light" w:hAnsi="Footlight MT Light"/>
          <w:sz w:val="24"/>
          <w:szCs w:val="24"/>
        </w:rPr>
        <w:t xml:space="preserve"> and en</w:t>
      </w:r>
      <w:r w:rsidRPr="00AD7A6C">
        <w:rPr>
          <w:rFonts w:ascii="Footlight MT Light" w:hAnsi="Footlight MT Light"/>
          <w:sz w:val="24"/>
          <w:szCs w:val="24"/>
        </w:rPr>
        <w:t>forcement.</w:t>
      </w:r>
    </w:p>
    <w:p w14:paraId="521475B7" w14:textId="77777777" w:rsidR="00675A4E" w:rsidRPr="00AD7A6C" w:rsidRDefault="00675A4E" w:rsidP="006E69D2">
      <w:pPr>
        <w:pStyle w:val="ListParagraph"/>
        <w:jc w:val="both"/>
        <w:rPr>
          <w:rFonts w:ascii="Footlight MT Light" w:hAnsi="Footlight MT Light"/>
          <w:sz w:val="24"/>
          <w:szCs w:val="24"/>
        </w:rPr>
      </w:pPr>
    </w:p>
    <w:p w14:paraId="0BBEDAE9" w14:textId="77777777" w:rsidR="0067061B" w:rsidRPr="00AD7A6C" w:rsidRDefault="0067061B" w:rsidP="006E69D2">
      <w:pPr>
        <w:pStyle w:val="ListParagraph"/>
        <w:jc w:val="both"/>
        <w:rPr>
          <w:rFonts w:ascii="Footlight MT Light" w:hAnsi="Footlight MT Light"/>
          <w:sz w:val="24"/>
          <w:szCs w:val="24"/>
        </w:rPr>
      </w:pPr>
      <w:r w:rsidRPr="00AD7A6C">
        <w:rPr>
          <w:rFonts w:ascii="Footlight MT Light" w:hAnsi="Footlight MT Light"/>
          <w:sz w:val="24"/>
          <w:szCs w:val="24"/>
        </w:rPr>
        <w:t>Several agencies collaborate to manage and monitor environmental impacts:</w:t>
      </w:r>
    </w:p>
    <w:p w14:paraId="33E0CDA6" w14:textId="77777777" w:rsidR="0067061B" w:rsidRPr="00AD7A6C" w:rsidRDefault="0067061B" w:rsidP="006E69D2">
      <w:pPr>
        <w:pStyle w:val="ListParagraph"/>
        <w:jc w:val="both"/>
        <w:rPr>
          <w:rFonts w:ascii="Footlight MT Light" w:hAnsi="Footlight MT Light"/>
          <w:sz w:val="24"/>
          <w:szCs w:val="24"/>
        </w:rPr>
      </w:pPr>
    </w:p>
    <w:p w14:paraId="523E2B33" w14:textId="77777777" w:rsidR="0067061B" w:rsidRPr="00AD7A6C" w:rsidRDefault="0067061B" w:rsidP="006E69D2">
      <w:pPr>
        <w:pStyle w:val="ListParagraph"/>
        <w:jc w:val="both"/>
        <w:rPr>
          <w:rFonts w:ascii="Footlight MT Light" w:hAnsi="Footlight MT Light"/>
          <w:sz w:val="24"/>
          <w:szCs w:val="24"/>
        </w:rPr>
      </w:pPr>
      <w:r w:rsidRPr="00AD7A6C">
        <w:rPr>
          <w:rFonts w:ascii="Footlight MT Light" w:hAnsi="Footlight MT Light"/>
          <w:b/>
          <w:bCs/>
          <w:sz w:val="24"/>
          <w:szCs w:val="24"/>
        </w:rPr>
        <w:t>Nigeria Oil Spill Detection and Response Agency (NOSDRA):</w:t>
      </w:r>
      <w:r w:rsidRPr="00AD7A6C">
        <w:rPr>
          <w:rFonts w:ascii="Footlight MT Light" w:hAnsi="Footlight MT Light"/>
          <w:sz w:val="24"/>
          <w:szCs w:val="24"/>
        </w:rPr>
        <w:t xml:space="preserve"> Detects and responds to oil spills.</w:t>
      </w:r>
    </w:p>
    <w:p w14:paraId="360C31D3" w14:textId="77777777" w:rsidR="0067061B" w:rsidRPr="00AD7A6C" w:rsidRDefault="0067061B" w:rsidP="006E69D2">
      <w:pPr>
        <w:pStyle w:val="ListParagraph"/>
        <w:jc w:val="both"/>
        <w:rPr>
          <w:rFonts w:ascii="Footlight MT Light" w:hAnsi="Footlight MT Light"/>
          <w:sz w:val="24"/>
          <w:szCs w:val="24"/>
        </w:rPr>
      </w:pPr>
      <w:r w:rsidRPr="00AD7A6C">
        <w:rPr>
          <w:rFonts w:ascii="Footlight MT Light" w:hAnsi="Footlight MT Light"/>
          <w:b/>
          <w:bCs/>
          <w:sz w:val="24"/>
          <w:szCs w:val="24"/>
        </w:rPr>
        <w:t>National Environmental Standards and Regulations Enforcement Agency (NESREA)</w:t>
      </w:r>
      <w:r w:rsidRPr="00AD7A6C">
        <w:rPr>
          <w:rFonts w:ascii="Footlight MT Light" w:hAnsi="Footlight MT Light"/>
          <w:sz w:val="24"/>
          <w:szCs w:val="24"/>
        </w:rPr>
        <w:t>: Sets pollution limits and enforces environmental regulations.</w:t>
      </w:r>
    </w:p>
    <w:p w14:paraId="0CE02D85" w14:textId="77777777" w:rsidR="0067061B" w:rsidRPr="00AD7A6C" w:rsidRDefault="0067061B" w:rsidP="006E69D2">
      <w:pPr>
        <w:pStyle w:val="ListParagraph"/>
        <w:jc w:val="both"/>
        <w:rPr>
          <w:rFonts w:ascii="Footlight MT Light" w:hAnsi="Footlight MT Light"/>
          <w:sz w:val="24"/>
          <w:szCs w:val="24"/>
        </w:rPr>
      </w:pPr>
      <w:r w:rsidRPr="00AD7A6C">
        <w:rPr>
          <w:rFonts w:ascii="Footlight MT Light" w:hAnsi="Footlight MT Light"/>
          <w:b/>
          <w:bCs/>
          <w:sz w:val="24"/>
          <w:szCs w:val="24"/>
        </w:rPr>
        <w:t>Hydrocarbon Pollution Remediation Project (HYPREP):</w:t>
      </w:r>
      <w:r w:rsidRPr="00AD7A6C">
        <w:rPr>
          <w:rFonts w:ascii="Footlight MT Light" w:hAnsi="Footlight MT Light"/>
          <w:sz w:val="24"/>
          <w:szCs w:val="24"/>
        </w:rPr>
        <w:t xml:space="preserve"> Guides remediation efforts for oil-impacted areas.</w:t>
      </w:r>
    </w:p>
    <w:p w14:paraId="71F31FAC" w14:textId="77777777" w:rsidR="0067061B" w:rsidRPr="00AD7A6C" w:rsidRDefault="0067061B" w:rsidP="006E69D2">
      <w:pPr>
        <w:pStyle w:val="ListParagraph"/>
        <w:jc w:val="both"/>
        <w:rPr>
          <w:rFonts w:ascii="Footlight MT Light" w:hAnsi="Footlight MT Light"/>
          <w:sz w:val="24"/>
          <w:szCs w:val="24"/>
        </w:rPr>
      </w:pPr>
    </w:p>
    <w:p w14:paraId="0F3EEDD5" w14:textId="6D5BB31C" w:rsidR="0067061B" w:rsidRPr="00AD7A6C" w:rsidRDefault="0067061B" w:rsidP="006E69D2">
      <w:pPr>
        <w:pStyle w:val="ListParagraph"/>
        <w:jc w:val="both"/>
        <w:rPr>
          <w:rFonts w:ascii="Footlight MT Light" w:hAnsi="Footlight MT Light"/>
          <w:sz w:val="24"/>
          <w:szCs w:val="24"/>
        </w:rPr>
      </w:pPr>
      <w:r w:rsidRPr="00AD7A6C">
        <w:rPr>
          <w:rFonts w:ascii="Footlight MT Light" w:hAnsi="Footlight MT Light"/>
          <w:sz w:val="24"/>
          <w:szCs w:val="24"/>
        </w:rPr>
        <w:t>These agencies work together to:</w:t>
      </w:r>
    </w:p>
    <w:p w14:paraId="7C36C5CA" w14:textId="77777777" w:rsidR="0067061B" w:rsidRPr="00AD7A6C" w:rsidRDefault="0067061B" w:rsidP="006E69D2">
      <w:pPr>
        <w:pStyle w:val="ListParagraph"/>
        <w:jc w:val="both"/>
        <w:rPr>
          <w:rFonts w:ascii="Footlight MT Light" w:hAnsi="Footlight MT Light"/>
          <w:sz w:val="24"/>
          <w:szCs w:val="24"/>
        </w:rPr>
      </w:pPr>
    </w:p>
    <w:p w14:paraId="5C4EC62D" w14:textId="77777777" w:rsidR="0067061B" w:rsidRPr="00AD7A6C" w:rsidRDefault="0067061B" w:rsidP="006E69D2">
      <w:pPr>
        <w:pStyle w:val="ListParagraph"/>
        <w:numPr>
          <w:ilvl w:val="0"/>
          <w:numId w:val="28"/>
        </w:numPr>
        <w:jc w:val="both"/>
        <w:rPr>
          <w:rFonts w:ascii="Footlight MT Light" w:hAnsi="Footlight MT Light"/>
          <w:sz w:val="24"/>
          <w:szCs w:val="24"/>
        </w:rPr>
      </w:pPr>
      <w:r w:rsidRPr="00AD7A6C">
        <w:rPr>
          <w:rFonts w:ascii="Footlight MT Light" w:hAnsi="Footlight MT Light"/>
          <w:sz w:val="24"/>
          <w:szCs w:val="24"/>
        </w:rPr>
        <w:t>Establish guidelines: Define acceptable pollution levels and oil spill response protocols.</w:t>
      </w:r>
    </w:p>
    <w:p w14:paraId="5515867C" w14:textId="77777777" w:rsidR="0067061B" w:rsidRPr="00AD7A6C" w:rsidRDefault="0067061B" w:rsidP="006E69D2">
      <w:pPr>
        <w:pStyle w:val="ListParagraph"/>
        <w:numPr>
          <w:ilvl w:val="0"/>
          <w:numId w:val="28"/>
        </w:numPr>
        <w:jc w:val="both"/>
        <w:rPr>
          <w:rFonts w:ascii="Footlight MT Light" w:hAnsi="Footlight MT Light"/>
          <w:sz w:val="24"/>
          <w:szCs w:val="24"/>
        </w:rPr>
      </w:pPr>
      <w:r w:rsidRPr="00AD7A6C">
        <w:rPr>
          <w:rFonts w:ascii="Footlight MT Light" w:hAnsi="Footlight MT Light"/>
          <w:sz w:val="24"/>
          <w:szCs w:val="24"/>
        </w:rPr>
        <w:t>Enforce compliance: Ensure companies adhere to environmental laws, regulations, and standards.</w:t>
      </w:r>
    </w:p>
    <w:p w14:paraId="35D53098" w14:textId="77777777" w:rsidR="0067061B" w:rsidRPr="00AD7A6C" w:rsidRDefault="0067061B" w:rsidP="006E69D2">
      <w:pPr>
        <w:pStyle w:val="ListParagraph"/>
        <w:numPr>
          <w:ilvl w:val="0"/>
          <w:numId w:val="28"/>
        </w:numPr>
        <w:jc w:val="both"/>
        <w:rPr>
          <w:rFonts w:ascii="Footlight MT Light" w:hAnsi="Footlight MT Light"/>
          <w:sz w:val="24"/>
          <w:szCs w:val="24"/>
        </w:rPr>
      </w:pPr>
      <w:r w:rsidRPr="00AD7A6C">
        <w:rPr>
          <w:rFonts w:ascii="Footlight MT Light" w:hAnsi="Footlight MT Light"/>
          <w:sz w:val="24"/>
          <w:szCs w:val="24"/>
        </w:rPr>
        <w:t>Remediate contamination: Facilitate the cleanup of soil and groundwater impacted by oil spills.</w:t>
      </w:r>
    </w:p>
    <w:p w14:paraId="4EB60020" w14:textId="77777777" w:rsidR="0067061B" w:rsidRPr="00AD7A6C" w:rsidRDefault="0067061B" w:rsidP="006E69D2">
      <w:pPr>
        <w:pStyle w:val="ListParagraph"/>
        <w:numPr>
          <w:ilvl w:val="0"/>
          <w:numId w:val="28"/>
        </w:numPr>
        <w:jc w:val="both"/>
        <w:rPr>
          <w:rFonts w:ascii="Footlight MT Light" w:hAnsi="Footlight MT Light"/>
          <w:sz w:val="24"/>
          <w:szCs w:val="24"/>
        </w:rPr>
      </w:pPr>
      <w:r w:rsidRPr="00AD7A6C">
        <w:rPr>
          <w:rFonts w:ascii="Footlight MT Light" w:hAnsi="Footlight MT Light"/>
          <w:sz w:val="24"/>
          <w:szCs w:val="24"/>
        </w:rPr>
        <w:t>Build local capacity: Empower communities to participate in environmental management.</w:t>
      </w:r>
    </w:p>
    <w:p w14:paraId="372F9B59" w14:textId="77777777" w:rsidR="0067061B" w:rsidRPr="00AD7A6C" w:rsidRDefault="0067061B" w:rsidP="006E69D2">
      <w:pPr>
        <w:pStyle w:val="ListParagraph"/>
        <w:numPr>
          <w:ilvl w:val="0"/>
          <w:numId w:val="28"/>
        </w:numPr>
        <w:jc w:val="both"/>
        <w:rPr>
          <w:rFonts w:ascii="Footlight MT Light" w:hAnsi="Footlight MT Light"/>
          <w:sz w:val="24"/>
          <w:szCs w:val="24"/>
        </w:rPr>
      </w:pPr>
      <w:r w:rsidRPr="00AD7A6C">
        <w:rPr>
          <w:rFonts w:ascii="Footlight MT Light" w:hAnsi="Footlight MT Light"/>
          <w:sz w:val="24"/>
          <w:szCs w:val="24"/>
        </w:rPr>
        <w:t>Promote awareness: Educate stakeholders on sound environmental practices.</w:t>
      </w:r>
    </w:p>
    <w:p w14:paraId="11A8B069" w14:textId="53C5314B" w:rsidR="000F155C" w:rsidRPr="00AD7A6C" w:rsidRDefault="0067061B" w:rsidP="006E69D2">
      <w:pPr>
        <w:pStyle w:val="ListParagraph"/>
        <w:numPr>
          <w:ilvl w:val="0"/>
          <w:numId w:val="28"/>
        </w:numPr>
        <w:jc w:val="both"/>
        <w:rPr>
          <w:rFonts w:ascii="Footlight MT Light" w:hAnsi="Footlight MT Light"/>
          <w:sz w:val="24"/>
          <w:szCs w:val="24"/>
        </w:rPr>
      </w:pPr>
      <w:r w:rsidRPr="00AD7A6C">
        <w:rPr>
          <w:rFonts w:ascii="Footlight MT Light" w:hAnsi="Footlight MT Light"/>
          <w:sz w:val="24"/>
          <w:szCs w:val="24"/>
        </w:rPr>
        <w:t>Support sustainable development: Balance resource extraction with environmental protection and community well-being.</w:t>
      </w:r>
    </w:p>
    <w:p w14:paraId="632A35E2" w14:textId="77777777" w:rsidR="000F155C" w:rsidRPr="00AD7A6C" w:rsidRDefault="000F155C" w:rsidP="006E69D2">
      <w:pPr>
        <w:pStyle w:val="ListParagraph"/>
        <w:jc w:val="both"/>
        <w:rPr>
          <w:rFonts w:ascii="Footlight MT Light" w:hAnsi="Footlight MT Light"/>
          <w:sz w:val="24"/>
          <w:szCs w:val="24"/>
        </w:rPr>
      </w:pPr>
    </w:p>
    <w:p w14:paraId="56D341FE" w14:textId="77777777" w:rsidR="008D7E32" w:rsidRPr="00AD7A6C" w:rsidRDefault="008D7E32" w:rsidP="006E69D2">
      <w:pPr>
        <w:pStyle w:val="ListParagraph"/>
        <w:jc w:val="both"/>
        <w:rPr>
          <w:rFonts w:ascii="Footlight MT Light" w:hAnsi="Footlight MT Light"/>
          <w:sz w:val="24"/>
          <w:szCs w:val="24"/>
        </w:rPr>
      </w:pPr>
      <w:r w:rsidRPr="00AD7A6C">
        <w:rPr>
          <w:rFonts w:ascii="Footlight MT Light" w:hAnsi="Footlight MT Light"/>
          <w:sz w:val="24"/>
          <w:szCs w:val="24"/>
        </w:rPr>
        <w:t>Despite companies being held liable for environmental damage, with potential sanctions including fines and license revocation, the effectiveness of rehabilitation and remediation programs remains a concern.  Inadequate funding and challenges in achieving long-term site restoration hinder these programs from achieving their full potential.</w:t>
      </w:r>
    </w:p>
    <w:p w14:paraId="2BD6E457" w14:textId="77777777" w:rsidR="008D7E32" w:rsidRPr="00AD7A6C" w:rsidRDefault="008D7E32" w:rsidP="006E69D2">
      <w:pPr>
        <w:pStyle w:val="ListParagraph"/>
        <w:jc w:val="both"/>
        <w:rPr>
          <w:rFonts w:ascii="Footlight MT Light" w:hAnsi="Footlight MT Light"/>
          <w:sz w:val="24"/>
          <w:szCs w:val="24"/>
        </w:rPr>
      </w:pPr>
    </w:p>
    <w:p w14:paraId="12D8FEFE" w14:textId="77777777" w:rsidR="000F155C" w:rsidRPr="00AD7A6C" w:rsidRDefault="000F155C" w:rsidP="006E69D2">
      <w:pPr>
        <w:pStyle w:val="ListParagraph"/>
        <w:jc w:val="both"/>
        <w:rPr>
          <w:rFonts w:ascii="Footlight MT Light" w:hAnsi="Footlight MT Light"/>
          <w:b/>
          <w:bCs/>
          <w:sz w:val="24"/>
          <w:szCs w:val="24"/>
        </w:rPr>
      </w:pPr>
    </w:p>
    <w:p w14:paraId="776B4302" w14:textId="57122D06" w:rsidR="00172C4E" w:rsidRPr="00AD7A6C" w:rsidRDefault="00172C4E" w:rsidP="006E69D2">
      <w:pPr>
        <w:jc w:val="both"/>
        <w:rPr>
          <w:rFonts w:ascii="Footlight MT Light" w:hAnsi="Footlight MT Light"/>
          <w:b/>
          <w:bCs/>
          <w:sz w:val="24"/>
          <w:szCs w:val="24"/>
        </w:rPr>
      </w:pPr>
      <w:r w:rsidRPr="00AD7A6C">
        <w:rPr>
          <w:rFonts w:ascii="Footlight MT Light" w:hAnsi="Footlight MT Light"/>
          <w:b/>
          <w:bCs/>
          <w:sz w:val="24"/>
          <w:szCs w:val="24"/>
        </w:rPr>
        <w:lastRenderedPageBreak/>
        <w:t>5.1</w:t>
      </w:r>
      <w:r w:rsidRPr="00AD7A6C">
        <w:rPr>
          <w:rFonts w:ascii="Footlight MT Light" w:hAnsi="Footlight MT Light"/>
          <w:b/>
          <w:bCs/>
          <w:sz w:val="24"/>
          <w:szCs w:val="24"/>
        </w:rPr>
        <w:tab/>
      </w:r>
      <w:r w:rsidR="00EF1BE9" w:rsidRPr="00AD7A6C">
        <w:rPr>
          <w:rFonts w:ascii="Footlight MT Light" w:hAnsi="Footlight MT Light"/>
          <w:b/>
          <w:bCs/>
          <w:sz w:val="24"/>
          <w:szCs w:val="24"/>
        </w:rPr>
        <w:t xml:space="preserve">Mandatory </w:t>
      </w:r>
      <w:r w:rsidR="001C41E6" w:rsidRPr="00AD7A6C">
        <w:rPr>
          <w:rFonts w:ascii="Footlight MT Light" w:hAnsi="Footlight MT Light"/>
          <w:b/>
          <w:bCs/>
          <w:sz w:val="24"/>
          <w:szCs w:val="24"/>
        </w:rPr>
        <w:t xml:space="preserve">Environmental Payments </w:t>
      </w:r>
      <w:r w:rsidR="00FC3C40" w:rsidRPr="00AD7A6C">
        <w:rPr>
          <w:rFonts w:ascii="Footlight MT Light" w:hAnsi="Footlight MT Light"/>
          <w:b/>
          <w:bCs/>
          <w:sz w:val="24"/>
          <w:szCs w:val="24"/>
        </w:rPr>
        <w:t>in Nigeria’s extractive sector</w:t>
      </w:r>
    </w:p>
    <w:p w14:paraId="73E4E9F3" w14:textId="47649D0F" w:rsidR="001C41E6" w:rsidRPr="00AD7A6C" w:rsidRDefault="00FC3C40" w:rsidP="006E69D2">
      <w:pPr>
        <w:pStyle w:val="ListParagraph"/>
        <w:numPr>
          <w:ilvl w:val="0"/>
          <w:numId w:val="27"/>
        </w:numPr>
        <w:jc w:val="both"/>
        <w:rPr>
          <w:rFonts w:ascii="Footlight MT Light" w:hAnsi="Footlight MT Light"/>
          <w:sz w:val="24"/>
          <w:szCs w:val="24"/>
        </w:rPr>
      </w:pPr>
      <w:r w:rsidRPr="00AD7A6C">
        <w:rPr>
          <w:rFonts w:ascii="Footlight MT Light" w:hAnsi="Footlight MT Light"/>
          <w:b/>
          <w:bCs/>
          <w:sz w:val="24"/>
          <w:szCs w:val="24"/>
        </w:rPr>
        <w:t>Flared Gas Payment</w:t>
      </w:r>
      <w:r w:rsidRPr="00AD7A6C">
        <w:rPr>
          <w:rFonts w:ascii="Footlight MT Light" w:hAnsi="Footlight MT Light"/>
          <w:sz w:val="24"/>
          <w:szCs w:val="24"/>
        </w:rPr>
        <w:t xml:space="preserve"> - </w:t>
      </w:r>
      <w:r w:rsidR="00652AE0" w:rsidRPr="00AD7A6C">
        <w:rPr>
          <w:rFonts w:ascii="Footlight MT Light" w:hAnsi="Footlight MT Light"/>
          <w:sz w:val="24"/>
          <w:szCs w:val="24"/>
        </w:rPr>
        <w:t>are payments for natural gas flared and/or vented at production facilities. This payment is collected by the NUPRC for the purpose of environmental remediation and relief of the host communities of the settlors per section 104(4) of PIA 2021.</w:t>
      </w:r>
    </w:p>
    <w:p w14:paraId="23C55E7E" w14:textId="41332EBB" w:rsidR="00652AE0" w:rsidRPr="00AD7A6C" w:rsidRDefault="00252F9E" w:rsidP="006E69D2">
      <w:pPr>
        <w:pStyle w:val="ListParagraph"/>
        <w:numPr>
          <w:ilvl w:val="0"/>
          <w:numId w:val="27"/>
        </w:numPr>
        <w:jc w:val="both"/>
        <w:rPr>
          <w:rFonts w:ascii="Footlight MT Light" w:hAnsi="Footlight MT Light"/>
          <w:sz w:val="24"/>
          <w:szCs w:val="24"/>
        </w:rPr>
      </w:pPr>
      <w:r w:rsidRPr="00AD7A6C">
        <w:rPr>
          <w:rFonts w:ascii="Footlight MT Light" w:hAnsi="Footlight MT Light"/>
          <w:b/>
          <w:bCs/>
          <w:sz w:val="24"/>
          <w:szCs w:val="24"/>
        </w:rPr>
        <w:t>Upstream Environmental Remediation Fund</w:t>
      </w:r>
      <w:r w:rsidRPr="00AD7A6C">
        <w:rPr>
          <w:rFonts w:ascii="Footlight MT Light" w:hAnsi="Footlight MT Light"/>
          <w:sz w:val="24"/>
          <w:szCs w:val="24"/>
        </w:rPr>
        <w:t xml:space="preserve"> -is a financial contribution paid by the licensee or lessee for the rehabilitation or management of negative environmental impacts with respect to the licence or lease. The NUPRC is responsible for the administration and management of the Fund in accordance with PIA 2021.</w:t>
      </w:r>
    </w:p>
    <w:p w14:paraId="4DBFC694" w14:textId="2CE96A6C" w:rsidR="00EF1BE9" w:rsidRPr="00AD7A6C" w:rsidRDefault="00C96F50" w:rsidP="006E69D2">
      <w:pPr>
        <w:pStyle w:val="ListParagraph"/>
        <w:numPr>
          <w:ilvl w:val="0"/>
          <w:numId w:val="27"/>
        </w:numPr>
        <w:jc w:val="both"/>
        <w:rPr>
          <w:rFonts w:ascii="Footlight MT Light" w:hAnsi="Footlight MT Light"/>
          <w:sz w:val="24"/>
          <w:szCs w:val="24"/>
        </w:rPr>
      </w:pPr>
      <w:r w:rsidRPr="00AD7A6C">
        <w:rPr>
          <w:rFonts w:ascii="Footlight MT Light" w:hAnsi="Footlight MT Light"/>
          <w:b/>
          <w:bCs/>
          <w:sz w:val="24"/>
          <w:szCs w:val="24"/>
        </w:rPr>
        <w:t>Environmental Protection and Rehabilitation Fund</w:t>
      </w:r>
      <w:r w:rsidRPr="00AD7A6C">
        <w:rPr>
          <w:rFonts w:ascii="Footlight MT Light" w:hAnsi="Footlight MT Light"/>
          <w:sz w:val="24"/>
          <w:szCs w:val="24"/>
        </w:rPr>
        <w:t xml:space="preserve"> </w:t>
      </w:r>
      <w:r w:rsidR="005949AE" w:rsidRPr="00AD7A6C">
        <w:rPr>
          <w:rFonts w:ascii="Footlight MT Light" w:hAnsi="Footlight MT Light"/>
          <w:sz w:val="24"/>
          <w:szCs w:val="24"/>
        </w:rPr>
        <w:t>– is a financial contribution made by a mineral title holder within Nigeria’s mining sector to facilitate the restoration of disturbed land to its natural or predetermined state. To ensure compliance with this obligation, the title holder must, before commencing operations, submit an approved Environmental Impact Assessment to the Federal Ministry of the Environment, along with an Environmental Protection and Rehabilitation Program to the Mines Environmental Compliance Department (the Compliance Department). The Environmental Protection and Reclamation Program (the Program) should include a reasonable estimate of the total rehabilitation cost and a timeline for the systematic and effective restoration of the area to a safe and environmentally sustainable condition suitable for future or recreational use</w:t>
      </w:r>
      <w:r w:rsidR="00977EF7" w:rsidRPr="00AD7A6C">
        <w:rPr>
          <w:rFonts w:ascii="Footlight MT Light" w:hAnsi="Footlight MT Light"/>
          <w:sz w:val="24"/>
          <w:szCs w:val="24"/>
        </w:rPr>
        <w:t>.</w:t>
      </w:r>
    </w:p>
    <w:p w14:paraId="052B14F4" w14:textId="77777777" w:rsidR="00C96F50" w:rsidRPr="00AD7A6C" w:rsidRDefault="00C96F50" w:rsidP="006E69D2">
      <w:pPr>
        <w:pStyle w:val="ListParagraph"/>
        <w:ind w:left="1440"/>
        <w:jc w:val="both"/>
        <w:rPr>
          <w:rFonts w:ascii="Footlight MT Light" w:hAnsi="Footlight MT Light"/>
          <w:b/>
          <w:bCs/>
          <w:sz w:val="24"/>
          <w:szCs w:val="24"/>
        </w:rPr>
      </w:pPr>
    </w:p>
    <w:p w14:paraId="059282F2" w14:textId="541EC93C" w:rsidR="00172C4E" w:rsidRPr="00AD7A6C" w:rsidRDefault="00172C4E" w:rsidP="006E69D2">
      <w:pPr>
        <w:jc w:val="both"/>
        <w:rPr>
          <w:rFonts w:ascii="Footlight MT Light" w:hAnsi="Footlight MT Light"/>
          <w:sz w:val="24"/>
          <w:szCs w:val="24"/>
        </w:rPr>
      </w:pPr>
      <w:r w:rsidRPr="00AD7A6C">
        <w:rPr>
          <w:rFonts w:ascii="Footlight MT Light" w:hAnsi="Footlight MT Light"/>
          <w:b/>
          <w:bCs/>
          <w:sz w:val="24"/>
          <w:szCs w:val="24"/>
        </w:rPr>
        <w:t>5.2</w:t>
      </w:r>
      <w:r w:rsidRPr="00AD7A6C">
        <w:rPr>
          <w:rFonts w:ascii="Footlight MT Light" w:hAnsi="Footlight MT Light"/>
          <w:sz w:val="24"/>
          <w:szCs w:val="24"/>
        </w:rPr>
        <w:tab/>
      </w:r>
      <w:r w:rsidRPr="00AD7A6C">
        <w:rPr>
          <w:rFonts w:ascii="Footlight MT Light" w:hAnsi="Footlight MT Light"/>
          <w:b/>
          <w:bCs/>
          <w:sz w:val="24"/>
          <w:szCs w:val="24"/>
        </w:rPr>
        <w:t>Mandatory</w:t>
      </w:r>
      <w:r w:rsidR="001C41E6" w:rsidRPr="00AD7A6C">
        <w:rPr>
          <w:rFonts w:ascii="Footlight MT Light" w:hAnsi="Footlight MT Light"/>
          <w:b/>
          <w:bCs/>
          <w:sz w:val="24"/>
          <w:szCs w:val="24"/>
        </w:rPr>
        <w:t xml:space="preserve"> </w:t>
      </w:r>
      <w:r w:rsidRPr="00AD7A6C">
        <w:rPr>
          <w:rFonts w:ascii="Footlight MT Light" w:hAnsi="Footlight MT Light"/>
          <w:b/>
          <w:bCs/>
          <w:sz w:val="24"/>
          <w:szCs w:val="24"/>
        </w:rPr>
        <w:t>Social Payments</w:t>
      </w:r>
      <w:r w:rsidRPr="00AD7A6C">
        <w:rPr>
          <w:rFonts w:ascii="Footlight MT Light" w:hAnsi="Footlight MT Light"/>
          <w:sz w:val="24"/>
          <w:szCs w:val="24"/>
        </w:rPr>
        <w:t xml:space="preserve"> </w:t>
      </w:r>
    </w:p>
    <w:p w14:paraId="709D07B5" w14:textId="53ED473C" w:rsidR="005949AE" w:rsidRPr="00AD7A6C" w:rsidRDefault="009D2881" w:rsidP="006E69D2">
      <w:pPr>
        <w:pStyle w:val="ListParagraph"/>
        <w:numPr>
          <w:ilvl w:val="0"/>
          <w:numId w:val="30"/>
        </w:numPr>
        <w:jc w:val="both"/>
        <w:rPr>
          <w:rFonts w:ascii="Footlight MT Light" w:hAnsi="Footlight MT Light"/>
          <w:sz w:val="24"/>
          <w:szCs w:val="24"/>
        </w:rPr>
      </w:pPr>
      <w:r w:rsidRPr="00AD7A6C">
        <w:rPr>
          <w:rFonts w:ascii="Footlight MT Light" w:hAnsi="Footlight MT Light"/>
          <w:b/>
          <w:bCs/>
          <w:sz w:val="24"/>
          <w:szCs w:val="24"/>
        </w:rPr>
        <w:t>Nigerian Content Development and Monitoring Board</w:t>
      </w:r>
      <w:r w:rsidR="00977EF7" w:rsidRPr="00AD7A6C">
        <w:rPr>
          <w:rFonts w:ascii="Footlight MT Light" w:hAnsi="Footlight MT Light"/>
          <w:b/>
          <w:bCs/>
          <w:sz w:val="24"/>
          <w:szCs w:val="24"/>
        </w:rPr>
        <w:t xml:space="preserve"> (</w:t>
      </w:r>
      <w:r w:rsidRPr="00AD7A6C">
        <w:rPr>
          <w:rFonts w:ascii="Footlight MT Light" w:hAnsi="Footlight MT Light"/>
          <w:b/>
          <w:bCs/>
          <w:sz w:val="24"/>
          <w:szCs w:val="24"/>
        </w:rPr>
        <w:t>NCDMB</w:t>
      </w:r>
      <w:r w:rsidR="00977EF7" w:rsidRPr="00AD7A6C">
        <w:rPr>
          <w:rFonts w:ascii="Footlight MT Light" w:hAnsi="Footlight MT Light"/>
          <w:sz w:val="24"/>
          <w:szCs w:val="24"/>
        </w:rPr>
        <w:t>)</w:t>
      </w:r>
      <w:r w:rsidRPr="00AD7A6C">
        <w:rPr>
          <w:rFonts w:ascii="Footlight MT Light" w:hAnsi="Footlight MT Light"/>
          <w:b/>
          <w:bCs/>
          <w:sz w:val="24"/>
          <w:szCs w:val="24"/>
        </w:rPr>
        <w:t xml:space="preserve"> 1% Levy</w:t>
      </w:r>
      <w:r w:rsidRPr="00AD7A6C">
        <w:rPr>
          <w:rFonts w:ascii="Footlight MT Light" w:hAnsi="Footlight MT Light"/>
          <w:sz w:val="24"/>
          <w:szCs w:val="24"/>
        </w:rPr>
        <w:t xml:space="preserve"> </w:t>
      </w:r>
      <w:r w:rsidR="00977EF7" w:rsidRPr="00AD7A6C">
        <w:rPr>
          <w:rFonts w:ascii="Footlight MT Light" w:hAnsi="Footlight MT Light"/>
          <w:sz w:val="24"/>
          <w:szCs w:val="24"/>
        </w:rPr>
        <w:t>- The objective is to bolster indigenous involvement across all facets of oil operations through the promotion of local content development initiatives. These initiatives entail setting minimum requirements for the utilization of domestic materials and workforce by oil and gas operators within the nation. For instance, the legislation mandates that 65 percent of divers engaged in energy projects must be of Nigerian origin, while 60 percent of steel ropes must be sourced locally.</w:t>
      </w:r>
    </w:p>
    <w:p w14:paraId="7E68AEFF" w14:textId="5017629C" w:rsidR="00977EF7" w:rsidRPr="00AD7A6C" w:rsidRDefault="001663BC" w:rsidP="006E69D2">
      <w:pPr>
        <w:pStyle w:val="ListParagraph"/>
        <w:numPr>
          <w:ilvl w:val="0"/>
          <w:numId w:val="30"/>
        </w:numPr>
        <w:jc w:val="both"/>
        <w:rPr>
          <w:rFonts w:ascii="Footlight MT Light" w:hAnsi="Footlight MT Light"/>
          <w:sz w:val="24"/>
          <w:szCs w:val="24"/>
        </w:rPr>
      </w:pPr>
      <w:r w:rsidRPr="00AD7A6C">
        <w:rPr>
          <w:rFonts w:ascii="Footlight MT Light" w:hAnsi="Footlight MT Light"/>
          <w:b/>
          <w:bCs/>
          <w:sz w:val="24"/>
          <w:szCs w:val="24"/>
        </w:rPr>
        <w:t>Community Development Agreements (CDAs)</w:t>
      </w:r>
      <w:r w:rsidRPr="00AD7A6C">
        <w:rPr>
          <w:rFonts w:ascii="Footlight MT Light" w:hAnsi="Footlight MT Light"/>
          <w:sz w:val="24"/>
          <w:szCs w:val="24"/>
        </w:rPr>
        <w:t xml:space="preserve"> - These agreements, compelled by the Nigeria Mineral and Mining Act (NMMA) of 2007 and the Nigeria Mineral and Mining Regulations (NMMR) of 2011, establish commitments between mining enterprises and communities impacted by their activities. Companies are obligated to allocate a segment of their earnings to support community development initiatives, encompassing the construction of schools, healthcare centers, road infrastructure, or facilitating access to clean water sources.</w:t>
      </w:r>
    </w:p>
    <w:p w14:paraId="1202AED3" w14:textId="5C2168FD" w:rsidR="00FC3306" w:rsidRPr="00AD7A6C" w:rsidRDefault="001663BC" w:rsidP="006E69D2">
      <w:pPr>
        <w:pStyle w:val="ListParagraph"/>
        <w:numPr>
          <w:ilvl w:val="0"/>
          <w:numId w:val="30"/>
        </w:numPr>
        <w:tabs>
          <w:tab w:val="left" w:pos="720"/>
        </w:tabs>
        <w:jc w:val="both"/>
        <w:rPr>
          <w:rFonts w:ascii="Footlight MT Light" w:hAnsi="Footlight MT Light"/>
          <w:b/>
          <w:bCs/>
          <w:sz w:val="24"/>
          <w:szCs w:val="24"/>
        </w:rPr>
      </w:pPr>
      <w:r w:rsidRPr="00AD7A6C">
        <w:rPr>
          <w:rFonts w:ascii="Footlight MT Light" w:hAnsi="Footlight MT Light"/>
          <w:b/>
          <w:bCs/>
          <w:sz w:val="24"/>
          <w:szCs w:val="24"/>
        </w:rPr>
        <w:t>Niger Delta Development Commission (NDDC)</w:t>
      </w:r>
      <w:r w:rsidR="009D2881" w:rsidRPr="00AD7A6C">
        <w:rPr>
          <w:rFonts w:ascii="Footlight MT Light" w:hAnsi="Footlight MT Light"/>
          <w:b/>
          <w:bCs/>
          <w:sz w:val="24"/>
          <w:szCs w:val="24"/>
        </w:rPr>
        <w:t xml:space="preserve"> 3%</w:t>
      </w:r>
      <w:r w:rsidRPr="00AD7A6C">
        <w:rPr>
          <w:rFonts w:ascii="Footlight MT Light" w:hAnsi="Footlight MT Light"/>
          <w:b/>
          <w:bCs/>
          <w:sz w:val="24"/>
          <w:szCs w:val="24"/>
        </w:rPr>
        <w:t xml:space="preserve"> Levy</w:t>
      </w:r>
      <w:r w:rsidR="00AA2A8F" w:rsidRPr="00AD7A6C">
        <w:rPr>
          <w:rFonts w:ascii="Footlight MT Light" w:hAnsi="Footlight MT Light"/>
          <w:sz w:val="24"/>
          <w:szCs w:val="24"/>
        </w:rPr>
        <w:t xml:space="preserve"> - Oil and gas firms conducting operations both onshore and offshore within the Niger Delta region are mandated to allocate 3% of their annual budgets to the Niger Delta Development Commission (NDDC). These funds are earmarked for advancing social, economic, and environmental initiatives within the Niger Delta area, aiming to foster comprehensive regional development.</w:t>
      </w:r>
    </w:p>
    <w:p w14:paraId="1CD898AB" w14:textId="77777777" w:rsidR="00AA2A8F" w:rsidRPr="00AD7A6C" w:rsidRDefault="00AA2A8F" w:rsidP="006E69D2">
      <w:pPr>
        <w:tabs>
          <w:tab w:val="left" w:pos="720"/>
        </w:tabs>
        <w:jc w:val="both"/>
        <w:rPr>
          <w:rFonts w:ascii="Footlight MT Light" w:hAnsi="Footlight MT Light"/>
          <w:b/>
          <w:bCs/>
          <w:sz w:val="24"/>
          <w:szCs w:val="24"/>
        </w:rPr>
      </w:pPr>
    </w:p>
    <w:p w14:paraId="44DA1C23" w14:textId="4AF635AA" w:rsidR="00FC3306" w:rsidRPr="00AD7A6C" w:rsidRDefault="00187695" w:rsidP="006E69D2">
      <w:pPr>
        <w:pStyle w:val="ListParagraph"/>
        <w:numPr>
          <w:ilvl w:val="0"/>
          <w:numId w:val="7"/>
        </w:numPr>
        <w:tabs>
          <w:tab w:val="left" w:pos="720"/>
        </w:tabs>
        <w:jc w:val="both"/>
        <w:rPr>
          <w:rFonts w:ascii="Footlight MT Light" w:hAnsi="Footlight MT Light"/>
          <w:b/>
          <w:bCs/>
          <w:sz w:val="24"/>
          <w:szCs w:val="24"/>
        </w:rPr>
      </w:pPr>
      <w:r w:rsidRPr="00AD7A6C">
        <w:rPr>
          <w:rFonts w:ascii="Footlight MT Light" w:hAnsi="Footlight MT Light"/>
          <w:b/>
          <w:bCs/>
          <w:sz w:val="24"/>
          <w:szCs w:val="24"/>
        </w:rPr>
        <w:lastRenderedPageBreak/>
        <w:t>Comprehensive 2</w:t>
      </w:r>
      <w:r w:rsidR="00C41C2B" w:rsidRPr="00AD7A6C">
        <w:rPr>
          <w:rFonts w:ascii="Footlight MT Light" w:hAnsi="Footlight MT Light"/>
          <w:b/>
          <w:bCs/>
          <w:sz w:val="24"/>
          <w:szCs w:val="24"/>
        </w:rPr>
        <w:t>0</w:t>
      </w:r>
      <w:r w:rsidRPr="00AD7A6C">
        <w:rPr>
          <w:rFonts w:ascii="Footlight MT Light" w:hAnsi="Footlight MT Light"/>
          <w:b/>
          <w:bCs/>
          <w:sz w:val="24"/>
          <w:szCs w:val="24"/>
        </w:rPr>
        <w:t>23 EITI Standard Disclosure Requirements</w:t>
      </w:r>
    </w:p>
    <w:p w14:paraId="5664C5A3" w14:textId="77777777" w:rsidR="00C41C2B" w:rsidRPr="00AD7A6C" w:rsidRDefault="00C41C2B" w:rsidP="006E69D2">
      <w:pPr>
        <w:pStyle w:val="ListParagraph"/>
        <w:tabs>
          <w:tab w:val="left" w:pos="720"/>
        </w:tabs>
        <w:jc w:val="both"/>
        <w:rPr>
          <w:rFonts w:ascii="Footlight MT Light" w:hAnsi="Footlight MT Light"/>
          <w:b/>
          <w:bCs/>
          <w:sz w:val="24"/>
          <w:szCs w:val="24"/>
        </w:rPr>
      </w:pPr>
    </w:p>
    <w:tbl>
      <w:tblPr>
        <w:tblStyle w:val="TableGrid"/>
        <w:tblW w:w="11058" w:type="dxa"/>
        <w:tblInd w:w="-998" w:type="dxa"/>
        <w:tblLayout w:type="fixed"/>
        <w:tblLook w:val="04A0" w:firstRow="1" w:lastRow="0" w:firstColumn="1" w:lastColumn="0" w:noHBand="0" w:noVBand="1"/>
      </w:tblPr>
      <w:tblGrid>
        <w:gridCol w:w="284"/>
        <w:gridCol w:w="1843"/>
        <w:gridCol w:w="993"/>
        <w:gridCol w:w="283"/>
        <w:gridCol w:w="284"/>
        <w:gridCol w:w="283"/>
        <w:gridCol w:w="1985"/>
        <w:gridCol w:w="2268"/>
        <w:gridCol w:w="1984"/>
        <w:gridCol w:w="851"/>
      </w:tblGrid>
      <w:tr w:rsidR="00AD7A6C" w:rsidRPr="00AD7A6C" w14:paraId="28AD995C" w14:textId="77777777" w:rsidTr="00ED4F42">
        <w:trPr>
          <w:trHeight w:val="372"/>
        </w:trPr>
        <w:tc>
          <w:tcPr>
            <w:tcW w:w="3120" w:type="dxa"/>
            <w:gridSpan w:val="3"/>
            <w:noWrap/>
            <w:hideMark/>
          </w:tcPr>
          <w:p w14:paraId="6341EA7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0" w:type="dxa"/>
            <w:gridSpan w:val="3"/>
            <w:noWrap/>
            <w:hideMark/>
          </w:tcPr>
          <w:p w14:paraId="72CC791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REQUIREMENT STATUS</w:t>
            </w:r>
          </w:p>
        </w:tc>
        <w:tc>
          <w:tcPr>
            <w:tcW w:w="4253" w:type="dxa"/>
            <w:gridSpan w:val="2"/>
            <w:noWrap/>
            <w:hideMark/>
          </w:tcPr>
          <w:p w14:paraId="294E91D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DISCLOSURE ROUTE</w:t>
            </w:r>
          </w:p>
        </w:tc>
        <w:tc>
          <w:tcPr>
            <w:tcW w:w="2835" w:type="dxa"/>
            <w:gridSpan w:val="2"/>
            <w:hideMark/>
          </w:tcPr>
          <w:p w14:paraId="463CE1C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02180A23" w14:textId="77777777" w:rsidTr="00A367B2">
        <w:trPr>
          <w:trHeight w:val="624"/>
        </w:trPr>
        <w:tc>
          <w:tcPr>
            <w:tcW w:w="284" w:type="dxa"/>
            <w:noWrap/>
            <w:hideMark/>
          </w:tcPr>
          <w:p w14:paraId="26E115A5"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S/N</w:t>
            </w:r>
          </w:p>
        </w:tc>
        <w:tc>
          <w:tcPr>
            <w:tcW w:w="1843" w:type="dxa"/>
            <w:noWrap/>
            <w:hideMark/>
          </w:tcPr>
          <w:p w14:paraId="24082FC3"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CATEGORY</w:t>
            </w:r>
          </w:p>
        </w:tc>
        <w:tc>
          <w:tcPr>
            <w:tcW w:w="993" w:type="dxa"/>
            <w:hideMark/>
          </w:tcPr>
          <w:p w14:paraId="691D16FE"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EITI REQUIREMENT(S)</w:t>
            </w:r>
          </w:p>
        </w:tc>
        <w:tc>
          <w:tcPr>
            <w:tcW w:w="283" w:type="dxa"/>
            <w:noWrap/>
            <w:hideMark/>
          </w:tcPr>
          <w:p w14:paraId="1C07EF3C"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MANDATORY</w:t>
            </w:r>
          </w:p>
        </w:tc>
        <w:tc>
          <w:tcPr>
            <w:tcW w:w="284" w:type="dxa"/>
            <w:noWrap/>
            <w:hideMark/>
          </w:tcPr>
          <w:p w14:paraId="777185EB"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EXPECTED</w:t>
            </w:r>
          </w:p>
        </w:tc>
        <w:tc>
          <w:tcPr>
            <w:tcW w:w="283" w:type="dxa"/>
            <w:noWrap/>
            <w:hideMark/>
          </w:tcPr>
          <w:p w14:paraId="592B8041"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ENCOURAGED</w:t>
            </w:r>
          </w:p>
        </w:tc>
        <w:tc>
          <w:tcPr>
            <w:tcW w:w="1985" w:type="dxa"/>
            <w:noWrap/>
            <w:hideMark/>
          </w:tcPr>
          <w:p w14:paraId="74E42F6D"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EITI REPORTING</w:t>
            </w:r>
          </w:p>
        </w:tc>
        <w:tc>
          <w:tcPr>
            <w:tcW w:w="2268" w:type="dxa"/>
            <w:hideMark/>
          </w:tcPr>
          <w:p w14:paraId="70817298" w14:textId="77777777" w:rsidR="00D25F15"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MAINSTREAMED</w:t>
            </w:r>
          </w:p>
          <w:p w14:paraId="70FC656D" w14:textId="72E90569"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 xml:space="preserve">(systematic disclosures) </w:t>
            </w:r>
          </w:p>
        </w:tc>
        <w:tc>
          <w:tcPr>
            <w:tcW w:w="1984" w:type="dxa"/>
            <w:hideMark/>
          </w:tcPr>
          <w:p w14:paraId="1DCBF81E"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POLICY(S), LAW(S), REGULATION(S) etc.</w:t>
            </w:r>
          </w:p>
        </w:tc>
        <w:tc>
          <w:tcPr>
            <w:tcW w:w="851" w:type="dxa"/>
            <w:hideMark/>
          </w:tcPr>
          <w:p w14:paraId="34FA5191" w14:textId="77777777" w:rsidR="00B531CF" w:rsidRPr="00AD7A6C" w:rsidRDefault="00B531CF" w:rsidP="00B531CF">
            <w:pPr>
              <w:tabs>
                <w:tab w:val="left" w:pos="720"/>
              </w:tabs>
              <w:jc w:val="both"/>
              <w:rPr>
                <w:rFonts w:ascii="Footlight MT Light" w:hAnsi="Footlight MT Light"/>
                <w:b/>
                <w:bCs/>
                <w:i/>
                <w:iCs/>
                <w:sz w:val="14"/>
                <w:szCs w:val="14"/>
              </w:rPr>
            </w:pPr>
            <w:r w:rsidRPr="00AD7A6C">
              <w:rPr>
                <w:rFonts w:ascii="Footlight MT Light" w:hAnsi="Footlight MT Light"/>
                <w:b/>
                <w:bCs/>
                <w:i/>
                <w:iCs/>
                <w:sz w:val="14"/>
                <w:szCs w:val="14"/>
              </w:rPr>
              <w:t>MDA</w:t>
            </w:r>
          </w:p>
        </w:tc>
      </w:tr>
      <w:tr w:rsidR="00AD7A6C" w:rsidRPr="00AD7A6C" w14:paraId="0D1C0593" w14:textId="77777777" w:rsidTr="00ED4F42">
        <w:trPr>
          <w:trHeight w:val="552"/>
        </w:trPr>
        <w:tc>
          <w:tcPr>
            <w:tcW w:w="284" w:type="dxa"/>
            <w:vMerge w:val="restart"/>
            <w:noWrap/>
            <w:hideMark/>
          </w:tcPr>
          <w:p w14:paraId="6F4987C0" w14:textId="039D7983"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r w:rsidR="00A367B2" w:rsidRPr="00AD7A6C">
              <w:rPr>
                <w:rFonts w:ascii="Footlight MT Light" w:hAnsi="Footlight MT Light"/>
                <w:b/>
                <w:bCs/>
                <w:sz w:val="14"/>
                <w:szCs w:val="14"/>
              </w:rPr>
              <w:t>1</w:t>
            </w:r>
          </w:p>
        </w:tc>
        <w:tc>
          <w:tcPr>
            <w:tcW w:w="1843" w:type="dxa"/>
            <w:vMerge w:val="restart"/>
            <w:noWrap/>
            <w:hideMark/>
          </w:tcPr>
          <w:p w14:paraId="72E9C2F1" w14:textId="29226766" w:rsidR="00B531CF" w:rsidRPr="00AD7A6C" w:rsidRDefault="00ED4F42"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Financial Data</w:t>
            </w:r>
            <w:r w:rsidR="00B531CF" w:rsidRPr="00AD7A6C">
              <w:rPr>
                <w:rFonts w:ascii="Footlight MT Light" w:hAnsi="Footlight MT Light"/>
                <w:b/>
                <w:bCs/>
                <w:sz w:val="14"/>
                <w:szCs w:val="14"/>
              </w:rPr>
              <w:t xml:space="preserve"> Disclosures</w:t>
            </w:r>
          </w:p>
        </w:tc>
        <w:tc>
          <w:tcPr>
            <w:tcW w:w="993" w:type="dxa"/>
            <w:hideMark/>
          </w:tcPr>
          <w:p w14:paraId="0CE8819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4.1</w:t>
            </w:r>
          </w:p>
        </w:tc>
        <w:tc>
          <w:tcPr>
            <w:tcW w:w="283" w:type="dxa"/>
            <w:noWrap/>
            <w:hideMark/>
          </w:tcPr>
          <w:p w14:paraId="4EBFBF2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2D14A0A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0B63A83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val="restart"/>
            <w:hideMark/>
          </w:tcPr>
          <w:p w14:paraId="093A253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w:t>
            </w:r>
            <w:r w:rsidRPr="00AD7A6C">
              <w:rPr>
                <w:rFonts w:ascii="Footlight MT Light" w:hAnsi="Footlight MT Light"/>
                <w:b/>
                <w:bCs/>
                <w:sz w:val="14"/>
                <w:szCs w:val="14"/>
              </w:rPr>
              <w:br/>
              <w:t>chapter 4 pg79, 89 )     (NEITI Report SM 2021</w:t>
            </w:r>
            <w:r w:rsidRPr="00AD7A6C">
              <w:rPr>
                <w:rFonts w:ascii="Footlight MT Light" w:hAnsi="Footlight MT Light"/>
                <w:b/>
                <w:bCs/>
                <w:sz w:val="14"/>
                <w:szCs w:val="14"/>
              </w:rPr>
              <w:br/>
              <w:t>Table 5 pg 9, Table 34 pg40-51)           (NEITI 2020-2021 FASD Report)</w:t>
            </w:r>
          </w:p>
        </w:tc>
        <w:tc>
          <w:tcPr>
            <w:tcW w:w="2268" w:type="dxa"/>
            <w:noWrap/>
            <w:hideMark/>
          </w:tcPr>
          <w:p w14:paraId="16B3A9BF" w14:textId="62E1991F"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https://www.eni.com/assets/documents/eng/reports/2020/Annual-Report-2020.pdf                 https://www.chevron.com/-/media/chevron/annual-report/2020/documents/2020-Annual-Report.pdf       </w:t>
            </w:r>
            <w:r w:rsidR="00ED4F42" w:rsidRPr="00AD7A6C">
              <w:rPr>
                <w:rFonts w:ascii="Footlight MT Light" w:hAnsi="Footlight MT Light"/>
                <w:b/>
                <w:bCs/>
                <w:sz w:val="14"/>
                <w:szCs w:val="14"/>
              </w:rPr>
              <w:t>https://lekoil.com/wp-content/uploads/2022/04/LEKOIL-OIL-AND-GAS-LOG-2020-FS-UPDATED.pdf https://transparencia.petrobras.com.br/auditoria/relatorios-anuais</w:t>
            </w:r>
            <w:r w:rsidRPr="00AD7A6C">
              <w:rPr>
                <w:rFonts w:ascii="Footlight MT Light" w:hAnsi="Footlight MT Light"/>
                <w:b/>
                <w:bCs/>
                <w:sz w:val="14"/>
                <w:szCs w:val="14"/>
              </w:rPr>
              <w:t xml:space="preserve">  </w:t>
            </w:r>
            <w:r w:rsidR="00ED4F42" w:rsidRPr="00AD7A6C">
              <w:rPr>
                <w:rFonts w:ascii="Footlight MT Light" w:hAnsi="Footlight MT Light"/>
                <w:b/>
                <w:bCs/>
                <w:sz w:val="14"/>
                <w:szCs w:val="14"/>
              </w:rPr>
              <w:t xml:space="preserve">, </w:t>
            </w:r>
            <w:r w:rsidRPr="00AD7A6C">
              <w:rPr>
                <w:rFonts w:ascii="Footlight MT Light" w:hAnsi="Footlight MT Light"/>
                <w:b/>
                <w:bCs/>
                <w:sz w:val="14"/>
                <w:szCs w:val="14"/>
              </w:rPr>
              <w:t xml:space="preserve">https://www.seplatenergy.com/media/vyahun0k/seplat-fy-2020-results-final-combined_28022021.pdf </w:t>
            </w:r>
          </w:p>
        </w:tc>
        <w:tc>
          <w:tcPr>
            <w:tcW w:w="1984" w:type="dxa"/>
            <w:vMerge w:val="restart"/>
            <w:hideMark/>
          </w:tcPr>
          <w:p w14:paraId="0583BF49" w14:textId="57879E96"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Federal inland Revenue Service (establishment) Act</w:t>
            </w:r>
            <w:r w:rsidR="00ED4F42" w:rsidRPr="00AD7A6C">
              <w:rPr>
                <w:rFonts w:ascii="Footlight MT Light" w:hAnsi="Footlight MT Light"/>
                <w:b/>
                <w:bCs/>
                <w:sz w:val="14"/>
                <w:szCs w:val="14"/>
              </w:rPr>
              <w:t xml:space="preserve">. </w:t>
            </w:r>
            <w:r w:rsidRPr="00AD7A6C">
              <w:rPr>
                <w:rFonts w:ascii="Footlight MT Light" w:hAnsi="Footlight MT Light"/>
                <w:b/>
                <w:bCs/>
                <w:sz w:val="14"/>
                <w:szCs w:val="14"/>
              </w:rPr>
              <w:t>CBN Establishment Act (2007)</w:t>
            </w:r>
            <w:r w:rsidRPr="00AD7A6C">
              <w:rPr>
                <w:rFonts w:ascii="Footlight MT Light" w:hAnsi="Footlight MT Light"/>
                <w:b/>
                <w:bCs/>
                <w:sz w:val="14"/>
                <w:szCs w:val="14"/>
              </w:rPr>
              <w:br/>
              <w:t>Finance Act (2023</w:t>
            </w:r>
            <w:r w:rsidR="00ED4F42" w:rsidRPr="00AD7A6C">
              <w:rPr>
                <w:rFonts w:ascii="Footlight MT Light" w:hAnsi="Footlight MT Light"/>
                <w:b/>
                <w:bCs/>
                <w:sz w:val="14"/>
                <w:szCs w:val="14"/>
              </w:rPr>
              <w:t>), Finance</w:t>
            </w:r>
            <w:r w:rsidRPr="00AD7A6C">
              <w:rPr>
                <w:rFonts w:ascii="Footlight MT Light" w:hAnsi="Footlight MT Light"/>
                <w:b/>
                <w:bCs/>
                <w:sz w:val="14"/>
                <w:szCs w:val="14"/>
              </w:rPr>
              <w:t xml:space="preserve"> Regulation (2009</w:t>
            </w:r>
            <w:r w:rsidR="00ED4F42" w:rsidRPr="00AD7A6C">
              <w:rPr>
                <w:rFonts w:ascii="Footlight MT Light" w:hAnsi="Footlight MT Light"/>
                <w:b/>
                <w:bCs/>
                <w:sz w:val="14"/>
                <w:szCs w:val="14"/>
              </w:rPr>
              <w:t>), Financial</w:t>
            </w:r>
            <w:r w:rsidRPr="00AD7A6C">
              <w:rPr>
                <w:rFonts w:ascii="Footlight MT Light" w:hAnsi="Footlight MT Light"/>
                <w:b/>
                <w:bCs/>
                <w:sz w:val="14"/>
                <w:szCs w:val="14"/>
              </w:rPr>
              <w:t xml:space="preserve"> Reporting Council of Nigeria Act (2011), Money Laundering (Prohibition) Act (2011), (BOFIA), 2020, </w:t>
            </w:r>
          </w:p>
        </w:tc>
        <w:tc>
          <w:tcPr>
            <w:tcW w:w="851" w:type="dxa"/>
            <w:vMerge w:val="restart"/>
            <w:hideMark/>
          </w:tcPr>
          <w:p w14:paraId="2A4DFE2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FIRS/CBN/NNPCL/PTDF/NCDMB/BOF/FMF/MMSD/MCO/OAGF/NMDPRA/NUPRC</w:t>
            </w:r>
          </w:p>
        </w:tc>
      </w:tr>
      <w:tr w:rsidR="00AD7A6C" w:rsidRPr="00AD7A6C" w14:paraId="55261CDD" w14:textId="77777777" w:rsidTr="00ED4F42">
        <w:trPr>
          <w:trHeight w:val="480"/>
        </w:trPr>
        <w:tc>
          <w:tcPr>
            <w:tcW w:w="284" w:type="dxa"/>
            <w:vMerge/>
            <w:hideMark/>
          </w:tcPr>
          <w:p w14:paraId="070E7EFF"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522A9EA7"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4815585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4.2</w:t>
            </w:r>
          </w:p>
        </w:tc>
        <w:tc>
          <w:tcPr>
            <w:tcW w:w="283" w:type="dxa"/>
            <w:noWrap/>
            <w:hideMark/>
          </w:tcPr>
          <w:p w14:paraId="75EADC1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E0B54E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3C5BC7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73DC4685"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648A50F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https://staging-cms1977.nnpcgroup.com/uploads/NUPRC_LIFTING_PROFILE_NOVEMBER_2022_900bc1af99.xlsx?updated_at=2023-02-20T12:21:47.794Z     https://staging-cms1977.nnpcgroup.com/uploads/FIRS_LIFTING_PROFILE_NOVEMBER_2022_d943f14f80.xlsx?updated_at=2023-02-20T12:21:47.791Z https://staging-cms1977.nnpcgroup.com/uploads/CRUDEOIL_LIFTING_PROFILE_NOVEMBER_2022_293afd9b58.xlsx?updated_at=2023-02-20T12:21:32.792Z  /https://www.firs.gov.ng/tax-statistics-report/, https://www.nuprc.gov.ng/wp-content/uploads/2024/04/UPDATED-2023-NUPRC-ANNUAL-REPORT.pdf,</w:t>
            </w:r>
          </w:p>
        </w:tc>
        <w:tc>
          <w:tcPr>
            <w:tcW w:w="1984" w:type="dxa"/>
            <w:vMerge/>
            <w:hideMark/>
          </w:tcPr>
          <w:p w14:paraId="29517FFB"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36A78F02"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45581970" w14:textId="77777777" w:rsidTr="00ED4F42">
        <w:trPr>
          <w:trHeight w:val="399"/>
        </w:trPr>
        <w:tc>
          <w:tcPr>
            <w:tcW w:w="284" w:type="dxa"/>
            <w:vMerge/>
            <w:hideMark/>
          </w:tcPr>
          <w:p w14:paraId="322E1BA9"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DE7DFE9"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3385CC5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4.3</w:t>
            </w:r>
          </w:p>
        </w:tc>
        <w:tc>
          <w:tcPr>
            <w:tcW w:w="283" w:type="dxa"/>
            <w:noWrap/>
            <w:hideMark/>
          </w:tcPr>
          <w:p w14:paraId="2EFD895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F899C2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D375E3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0025BDEC"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42F3AFB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vMerge/>
            <w:hideMark/>
          </w:tcPr>
          <w:p w14:paraId="19A90D66"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0573C4F8"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597F320E" w14:textId="77777777" w:rsidTr="00ED4F42">
        <w:trPr>
          <w:trHeight w:val="384"/>
        </w:trPr>
        <w:tc>
          <w:tcPr>
            <w:tcW w:w="284" w:type="dxa"/>
            <w:vMerge/>
            <w:hideMark/>
          </w:tcPr>
          <w:p w14:paraId="5FD4B221"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DC29106"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2C4288B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4.4</w:t>
            </w:r>
          </w:p>
        </w:tc>
        <w:tc>
          <w:tcPr>
            <w:tcW w:w="283" w:type="dxa"/>
            <w:noWrap/>
            <w:hideMark/>
          </w:tcPr>
          <w:p w14:paraId="0F84BAB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71FBC23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256999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2F4FE996"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27C0F94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https://www.nmdpra.gov.ng/daily-truckout/</w:t>
            </w:r>
          </w:p>
        </w:tc>
        <w:tc>
          <w:tcPr>
            <w:tcW w:w="1984" w:type="dxa"/>
            <w:vMerge/>
            <w:hideMark/>
          </w:tcPr>
          <w:p w14:paraId="312723AE"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4590A7B9"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66D3021E" w14:textId="77777777" w:rsidTr="00ED4F42">
        <w:trPr>
          <w:trHeight w:val="924"/>
        </w:trPr>
        <w:tc>
          <w:tcPr>
            <w:tcW w:w="284" w:type="dxa"/>
            <w:vMerge/>
            <w:hideMark/>
          </w:tcPr>
          <w:p w14:paraId="7FB038B8"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67CF1CB"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2254B17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4.6</w:t>
            </w:r>
          </w:p>
        </w:tc>
        <w:tc>
          <w:tcPr>
            <w:tcW w:w="283" w:type="dxa"/>
            <w:noWrap/>
            <w:hideMark/>
          </w:tcPr>
          <w:p w14:paraId="26290F5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103DCEF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E3A0EE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045ABC11"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27ED8D3A" w14:textId="77777777" w:rsidR="00B531CF" w:rsidRPr="00AD7A6C" w:rsidRDefault="00B531CF" w:rsidP="00B531CF">
            <w:pPr>
              <w:tabs>
                <w:tab w:val="left" w:pos="720"/>
              </w:tabs>
              <w:jc w:val="both"/>
              <w:rPr>
                <w:rFonts w:ascii="Footlight MT Light" w:hAnsi="Footlight MT Light"/>
                <w:b/>
                <w:bCs/>
                <w:sz w:val="14"/>
                <w:szCs w:val="14"/>
                <w:u w:val="single"/>
              </w:rPr>
            </w:pPr>
            <w:hyperlink r:id="rId23" w:history="1">
              <w:r w:rsidRPr="00AD7A6C">
                <w:rPr>
                  <w:rStyle w:val="Hyperlink"/>
                  <w:rFonts w:ascii="Footlight MT Light" w:hAnsi="Footlight MT Light"/>
                  <w:b/>
                  <w:bCs/>
                  <w:color w:val="auto"/>
                  <w:sz w:val="14"/>
                  <w:szCs w:val="14"/>
                </w:rPr>
                <w:t>BOFIA 2020.pdf (cbn.gov.ng)</w:t>
              </w:r>
            </w:hyperlink>
          </w:p>
        </w:tc>
        <w:tc>
          <w:tcPr>
            <w:tcW w:w="1984" w:type="dxa"/>
            <w:vMerge/>
            <w:hideMark/>
          </w:tcPr>
          <w:p w14:paraId="5F4FB49F"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0FD12DB4"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3A21E493" w14:textId="77777777" w:rsidTr="00ED4F42">
        <w:trPr>
          <w:trHeight w:val="1224"/>
        </w:trPr>
        <w:tc>
          <w:tcPr>
            <w:tcW w:w="284" w:type="dxa"/>
            <w:vMerge/>
            <w:hideMark/>
          </w:tcPr>
          <w:p w14:paraId="48052DC9"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09BA5FA6"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4DF41EC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4.7</w:t>
            </w:r>
          </w:p>
        </w:tc>
        <w:tc>
          <w:tcPr>
            <w:tcW w:w="283" w:type="dxa"/>
            <w:noWrap/>
            <w:hideMark/>
          </w:tcPr>
          <w:p w14:paraId="294E5A7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3DF25A3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57B733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3BFF6476"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4FBDE32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https://www.firs.gov.ng/tax-statistics-report/ FIRS statistics report https://www.nuprc.gov.ng/oil-production-status-report/ https://nnpcgroup.com/insights/nnpc-limited-disclosures </w:t>
            </w:r>
          </w:p>
        </w:tc>
        <w:tc>
          <w:tcPr>
            <w:tcW w:w="1984" w:type="dxa"/>
            <w:vMerge/>
            <w:hideMark/>
          </w:tcPr>
          <w:p w14:paraId="42C0124E"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5D8B0A95"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6E6A64C0" w14:textId="77777777" w:rsidTr="00ED4F42">
        <w:trPr>
          <w:trHeight w:val="480"/>
        </w:trPr>
        <w:tc>
          <w:tcPr>
            <w:tcW w:w="284" w:type="dxa"/>
            <w:vMerge/>
            <w:hideMark/>
          </w:tcPr>
          <w:p w14:paraId="414AAB34"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6896AE86"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77B2333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5.1</w:t>
            </w:r>
          </w:p>
        </w:tc>
        <w:tc>
          <w:tcPr>
            <w:tcW w:w="283" w:type="dxa"/>
            <w:noWrap/>
            <w:hideMark/>
          </w:tcPr>
          <w:p w14:paraId="0A633AA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1BCD7D0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54201A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40475A62"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0C634A3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https://oagf.gov.ng/publications/faac-report/</w:t>
            </w:r>
          </w:p>
        </w:tc>
        <w:tc>
          <w:tcPr>
            <w:tcW w:w="1984" w:type="dxa"/>
            <w:vMerge/>
            <w:hideMark/>
          </w:tcPr>
          <w:p w14:paraId="5822763F"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3D1F220F"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11EA1532" w14:textId="77777777" w:rsidTr="00ED4F42">
        <w:trPr>
          <w:trHeight w:val="480"/>
        </w:trPr>
        <w:tc>
          <w:tcPr>
            <w:tcW w:w="284" w:type="dxa"/>
            <w:vMerge/>
            <w:hideMark/>
          </w:tcPr>
          <w:p w14:paraId="02A808A6"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03607531"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267C84B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5.2</w:t>
            </w:r>
          </w:p>
        </w:tc>
        <w:tc>
          <w:tcPr>
            <w:tcW w:w="283" w:type="dxa"/>
            <w:noWrap/>
            <w:hideMark/>
          </w:tcPr>
          <w:p w14:paraId="11FC158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0ED270F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A4557B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1141DEDC"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270F468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https//oagf.gov.ng/wp-content/uploads/2023/04/disbursement-december-2022.pdf</w:t>
            </w:r>
            <w:r w:rsidRPr="00AD7A6C">
              <w:rPr>
                <w:rFonts w:ascii="Footlight MT Light" w:hAnsi="Footlight MT Light"/>
                <w:b/>
                <w:bCs/>
                <w:sz w:val="14"/>
                <w:szCs w:val="14"/>
              </w:rPr>
              <w:br/>
              <w:t xml:space="preserve">https://nigerianstat.gov.ng/elibrary/read/1241351                                                                              https://neiti.gov.ng/cms/wp-content/uploads/2021/08/NEITI-QR-Issue-16-Analysis-of-Q1-2020-FAAC-Disbursements-COVID19-Impact.pdf  </w:t>
            </w:r>
          </w:p>
        </w:tc>
        <w:tc>
          <w:tcPr>
            <w:tcW w:w="1984" w:type="dxa"/>
            <w:vMerge/>
            <w:hideMark/>
          </w:tcPr>
          <w:p w14:paraId="1011BA7B"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132BC9D1"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44F690AF" w14:textId="77777777" w:rsidTr="00ED4F42">
        <w:trPr>
          <w:trHeight w:val="480"/>
        </w:trPr>
        <w:tc>
          <w:tcPr>
            <w:tcW w:w="284" w:type="dxa"/>
            <w:vMerge/>
            <w:hideMark/>
          </w:tcPr>
          <w:p w14:paraId="5C3BD077"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DB952FF"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49B204C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5.3</w:t>
            </w:r>
          </w:p>
        </w:tc>
        <w:tc>
          <w:tcPr>
            <w:tcW w:w="283" w:type="dxa"/>
            <w:noWrap/>
            <w:hideMark/>
          </w:tcPr>
          <w:p w14:paraId="4D6F62E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4532DCE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4B50D28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76AA15C7"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76127A1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https://www.budgetoffice.gov.ng/index.php/mdas-budget-proposal-details/mdas-budget-proposal/viewdocument/202      </w:t>
            </w:r>
            <w:r w:rsidRPr="00AD7A6C">
              <w:rPr>
                <w:rFonts w:ascii="Footlight MT Light" w:hAnsi="Footlight MT Light"/>
                <w:b/>
                <w:bCs/>
                <w:sz w:val="14"/>
                <w:szCs w:val="14"/>
              </w:rPr>
              <w:br/>
              <w:t xml:space="preserve">https://ncdmb.gov.ng/page/2/?s=trainee+program   </w:t>
            </w:r>
            <w:r w:rsidRPr="00AD7A6C">
              <w:rPr>
                <w:rFonts w:ascii="Footlight MT Light" w:hAnsi="Footlight MT Light"/>
                <w:b/>
                <w:bCs/>
                <w:sz w:val="14"/>
                <w:szCs w:val="14"/>
              </w:rPr>
              <w:br/>
              <w:t xml:space="preserve">https://www.nddc.gov.ng/    </w:t>
            </w:r>
            <w:r w:rsidRPr="00AD7A6C">
              <w:rPr>
                <w:rFonts w:ascii="Footlight MT Light" w:hAnsi="Footlight MT Light"/>
                <w:b/>
                <w:bCs/>
                <w:sz w:val="14"/>
                <w:szCs w:val="14"/>
              </w:rPr>
              <w:br/>
              <w:t xml:space="preserve">https://scholarship.ptdf.gov.ng/    </w:t>
            </w:r>
            <w:r w:rsidRPr="00AD7A6C">
              <w:rPr>
                <w:rFonts w:ascii="Footlight MT Light" w:hAnsi="Footlight MT Light"/>
                <w:b/>
                <w:bCs/>
                <w:sz w:val="14"/>
                <w:szCs w:val="14"/>
              </w:rPr>
              <w:br/>
              <w:t xml:space="preserve"> https://tetfund.gov.ng/index.php/guideline-4/ </w:t>
            </w:r>
          </w:p>
        </w:tc>
        <w:tc>
          <w:tcPr>
            <w:tcW w:w="1984" w:type="dxa"/>
            <w:vMerge/>
            <w:hideMark/>
          </w:tcPr>
          <w:p w14:paraId="3DE29581"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388E44EA"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65A84CEA" w14:textId="77777777" w:rsidTr="00D25F15">
        <w:trPr>
          <w:trHeight w:val="699"/>
        </w:trPr>
        <w:tc>
          <w:tcPr>
            <w:tcW w:w="11058" w:type="dxa"/>
            <w:gridSpan w:val="10"/>
            <w:noWrap/>
            <w:hideMark/>
          </w:tcPr>
          <w:p w14:paraId="421974F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54B92B84" w14:textId="77777777" w:rsidTr="00ED4F42">
        <w:trPr>
          <w:trHeight w:val="2784"/>
        </w:trPr>
        <w:tc>
          <w:tcPr>
            <w:tcW w:w="284" w:type="dxa"/>
            <w:vMerge w:val="restart"/>
            <w:noWrap/>
            <w:hideMark/>
          </w:tcPr>
          <w:p w14:paraId="049BA78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w:t>
            </w:r>
          </w:p>
        </w:tc>
        <w:tc>
          <w:tcPr>
            <w:tcW w:w="1843" w:type="dxa"/>
            <w:vMerge w:val="restart"/>
            <w:hideMark/>
          </w:tcPr>
          <w:p w14:paraId="62764C1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Contract and License Allocation, License Register, Licenses and Contract Disclosures</w:t>
            </w:r>
          </w:p>
        </w:tc>
        <w:tc>
          <w:tcPr>
            <w:tcW w:w="993" w:type="dxa"/>
            <w:noWrap/>
            <w:hideMark/>
          </w:tcPr>
          <w:p w14:paraId="6F52FA9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2.1a</w:t>
            </w:r>
          </w:p>
        </w:tc>
        <w:tc>
          <w:tcPr>
            <w:tcW w:w="283" w:type="dxa"/>
            <w:noWrap/>
            <w:hideMark/>
          </w:tcPr>
          <w:p w14:paraId="5D63FE3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01D81B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7071B1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16A7C6C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2 pg21-26), (NEITI Report SM 2021 Chapter pg10-18)</w:t>
            </w:r>
          </w:p>
        </w:tc>
        <w:tc>
          <w:tcPr>
            <w:tcW w:w="2268" w:type="dxa"/>
            <w:hideMark/>
          </w:tcPr>
          <w:p w14:paraId="3D81B6AE" w14:textId="77777777" w:rsidR="00B531CF" w:rsidRPr="00AD7A6C" w:rsidRDefault="00B531CF" w:rsidP="00B531CF">
            <w:pPr>
              <w:tabs>
                <w:tab w:val="left" w:pos="720"/>
              </w:tabs>
              <w:jc w:val="both"/>
              <w:rPr>
                <w:rFonts w:ascii="Footlight MT Light" w:hAnsi="Footlight MT Light"/>
                <w:b/>
                <w:bCs/>
                <w:sz w:val="14"/>
                <w:szCs w:val="14"/>
                <w:u w:val="single"/>
              </w:rPr>
            </w:pPr>
            <w:hyperlink r:id="rId24" w:history="1">
              <w:r w:rsidRPr="00AD7A6C">
                <w:rPr>
                  <w:rStyle w:val="Hyperlink"/>
                  <w:rFonts w:ascii="Footlight MT Light" w:hAnsi="Footlight MT Light"/>
                  <w:b/>
                  <w:bCs/>
                  <w:color w:val="auto"/>
                  <w:sz w:val="14"/>
                  <w:szCs w:val="14"/>
                </w:rPr>
                <w:t>(1)https://neiti.gov.ng/cms/wp-content/uploads/2023/01/Official-Gazette-of-the-Petroleum-Industry-Act-2021.pdf, (2)https://www.nuprc.gov.ng/conversion-contracts/, https://www.nuprc.gov.ng/licenses/, https://www.nmdpra.gov.ng/wp-content/uploads/2023/03/ASSIGNMENT-OR-TRANSFER-OF-LICENCE-AND-PERMIT-REGULATIONS.pdf,</w:t>
              </w:r>
            </w:hyperlink>
          </w:p>
        </w:tc>
        <w:tc>
          <w:tcPr>
            <w:tcW w:w="1984" w:type="dxa"/>
            <w:hideMark/>
          </w:tcPr>
          <w:p w14:paraId="344A0AC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PIA (2021) - Oil and Gas/NEITI ACT (2007)</w:t>
            </w:r>
          </w:p>
        </w:tc>
        <w:tc>
          <w:tcPr>
            <w:tcW w:w="851" w:type="dxa"/>
            <w:hideMark/>
          </w:tcPr>
          <w:p w14:paraId="178B43E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/NUPRC, NMDPRA</w:t>
            </w:r>
          </w:p>
        </w:tc>
      </w:tr>
      <w:tr w:rsidR="00AD7A6C" w:rsidRPr="00AD7A6C" w14:paraId="159E918A" w14:textId="77777777" w:rsidTr="00ED4F42">
        <w:trPr>
          <w:trHeight w:val="1524"/>
        </w:trPr>
        <w:tc>
          <w:tcPr>
            <w:tcW w:w="284" w:type="dxa"/>
            <w:vMerge/>
            <w:hideMark/>
          </w:tcPr>
          <w:p w14:paraId="5EC75A0B"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0D631D6"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5442B06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2.2</w:t>
            </w:r>
          </w:p>
        </w:tc>
        <w:tc>
          <w:tcPr>
            <w:tcW w:w="283" w:type="dxa"/>
            <w:noWrap/>
            <w:hideMark/>
          </w:tcPr>
          <w:p w14:paraId="1D76ABE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CAD64C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300186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hideMark/>
          </w:tcPr>
          <w:p w14:paraId="45B5403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2 pg27-30), (NEITI Report SM 2021 Chapter pg15)</w:t>
            </w:r>
          </w:p>
        </w:tc>
        <w:tc>
          <w:tcPr>
            <w:tcW w:w="2268" w:type="dxa"/>
            <w:noWrap/>
            <w:hideMark/>
          </w:tcPr>
          <w:p w14:paraId="556CA60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429B7D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Nigeria Oil and Gas Industry Content Development Act (2010)/ Nigeria Minerals and Mining Act, (2007)</w:t>
            </w:r>
          </w:p>
        </w:tc>
        <w:tc>
          <w:tcPr>
            <w:tcW w:w="851" w:type="dxa"/>
            <w:hideMark/>
          </w:tcPr>
          <w:p w14:paraId="0F7EFC3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NCDMB</w:t>
            </w:r>
          </w:p>
        </w:tc>
      </w:tr>
      <w:tr w:rsidR="00AD7A6C" w:rsidRPr="00AD7A6C" w14:paraId="31C809D3" w14:textId="77777777" w:rsidTr="00ED4F42">
        <w:trPr>
          <w:trHeight w:val="1524"/>
        </w:trPr>
        <w:tc>
          <w:tcPr>
            <w:tcW w:w="284" w:type="dxa"/>
            <w:vMerge/>
            <w:hideMark/>
          </w:tcPr>
          <w:p w14:paraId="7F422083"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6E64970"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vMerge w:val="restart"/>
            <w:noWrap/>
            <w:hideMark/>
          </w:tcPr>
          <w:p w14:paraId="6B9C0D4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2.3</w:t>
            </w:r>
          </w:p>
        </w:tc>
        <w:tc>
          <w:tcPr>
            <w:tcW w:w="283" w:type="dxa"/>
            <w:noWrap/>
            <w:hideMark/>
          </w:tcPr>
          <w:p w14:paraId="5CB724F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79127B2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550AD24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hideMark/>
          </w:tcPr>
          <w:p w14:paraId="1B3171E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2 pg29), (NEITI Report SM 2021 Chapter pg15)</w:t>
            </w:r>
          </w:p>
        </w:tc>
        <w:tc>
          <w:tcPr>
            <w:tcW w:w="2268" w:type="dxa"/>
            <w:noWrap/>
            <w:hideMark/>
          </w:tcPr>
          <w:p w14:paraId="52EBF77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181B22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Nigeria Mineral and Mining Act ( 2007, PIA 2021</w:t>
            </w:r>
          </w:p>
        </w:tc>
        <w:tc>
          <w:tcPr>
            <w:tcW w:w="851" w:type="dxa"/>
            <w:hideMark/>
          </w:tcPr>
          <w:p w14:paraId="279C49C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MMSD</w:t>
            </w:r>
          </w:p>
        </w:tc>
      </w:tr>
      <w:tr w:rsidR="00AD7A6C" w:rsidRPr="00AD7A6C" w14:paraId="5381F4CE" w14:textId="77777777" w:rsidTr="00ED4F42">
        <w:trPr>
          <w:trHeight w:val="324"/>
        </w:trPr>
        <w:tc>
          <w:tcPr>
            <w:tcW w:w="284" w:type="dxa"/>
            <w:vMerge/>
            <w:hideMark/>
          </w:tcPr>
          <w:p w14:paraId="622DC103"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1052765F"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vMerge/>
            <w:hideMark/>
          </w:tcPr>
          <w:p w14:paraId="4693CBAA" w14:textId="77777777" w:rsidR="00B531CF" w:rsidRPr="00AD7A6C" w:rsidRDefault="00B531CF" w:rsidP="00B531CF">
            <w:pPr>
              <w:tabs>
                <w:tab w:val="left" w:pos="720"/>
              </w:tabs>
              <w:jc w:val="both"/>
              <w:rPr>
                <w:rFonts w:ascii="Footlight MT Light" w:hAnsi="Footlight MT Light"/>
                <w:b/>
                <w:bCs/>
                <w:sz w:val="14"/>
                <w:szCs w:val="14"/>
              </w:rPr>
            </w:pPr>
          </w:p>
        </w:tc>
        <w:tc>
          <w:tcPr>
            <w:tcW w:w="283" w:type="dxa"/>
            <w:noWrap/>
            <w:hideMark/>
          </w:tcPr>
          <w:p w14:paraId="2EF9189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5313EE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D47334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5F8630C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3A0B5A2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608D712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2D3B358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400ADCF1" w14:textId="77777777" w:rsidTr="00ED4F42">
        <w:trPr>
          <w:trHeight w:val="1188"/>
        </w:trPr>
        <w:tc>
          <w:tcPr>
            <w:tcW w:w="284" w:type="dxa"/>
            <w:vMerge/>
            <w:hideMark/>
          </w:tcPr>
          <w:p w14:paraId="3B995E79"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05CA276B"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3756F71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2.4</w:t>
            </w:r>
          </w:p>
        </w:tc>
        <w:tc>
          <w:tcPr>
            <w:tcW w:w="283" w:type="dxa"/>
            <w:noWrap/>
            <w:hideMark/>
          </w:tcPr>
          <w:p w14:paraId="1E51B7D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006C3C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E9212E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24ECA8D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2 pg32), (NEITI Report SM 2021 Chapter pg19)</w:t>
            </w:r>
          </w:p>
        </w:tc>
        <w:tc>
          <w:tcPr>
            <w:tcW w:w="2268" w:type="dxa"/>
            <w:noWrap/>
            <w:hideMark/>
          </w:tcPr>
          <w:p w14:paraId="261660C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38A906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PIA 2021/ Petroleum Registration and Publication of Licenses, Permits</w:t>
            </w:r>
            <w:r w:rsidRPr="00AD7A6C">
              <w:rPr>
                <w:rFonts w:ascii="Footlight MT Light" w:hAnsi="Footlight MT Light"/>
                <w:b/>
                <w:bCs/>
                <w:sz w:val="14"/>
                <w:szCs w:val="14"/>
              </w:rPr>
              <w:br/>
              <w:t>and Authorizations Regulations, 2023.</w:t>
            </w:r>
          </w:p>
        </w:tc>
        <w:tc>
          <w:tcPr>
            <w:tcW w:w="851" w:type="dxa"/>
            <w:hideMark/>
          </w:tcPr>
          <w:p w14:paraId="35D1788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NUPRC</w:t>
            </w:r>
          </w:p>
        </w:tc>
      </w:tr>
      <w:tr w:rsidR="00AD7A6C" w:rsidRPr="00AD7A6C" w14:paraId="4799DD4A" w14:textId="77777777" w:rsidTr="00ED4F42">
        <w:trPr>
          <w:trHeight w:val="519"/>
        </w:trPr>
        <w:tc>
          <w:tcPr>
            <w:tcW w:w="284" w:type="dxa"/>
            <w:noWrap/>
            <w:hideMark/>
          </w:tcPr>
          <w:p w14:paraId="7BCADEF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hideMark/>
          </w:tcPr>
          <w:p w14:paraId="30D8ACA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036382E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 2.4b</w:t>
            </w:r>
          </w:p>
        </w:tc>
        <w:tc>
          <w:tcPr>
            <w:tcW w:w="283" w:type="dxa"/>
            <w:noWrap/>
            <w:hideMark/>
          </w:tcPr>
          <w:p w14:paraId="1BA2307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829F67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3CE0CD4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17310B4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4F8A190D" w14:textId="77777777" w:rsidR="00B531CF" w:rsidRPr="00AD7A6C" w:rsidRDefault="00B531CF" w:rsidP="00B531CF">
            <w:pPr>
              <w:tabs>
                <w:tab w:val="left" w:pos="720"/>
              </w:tabs>
              <w:jc w:val="both"/>
              <w:rPr>
                <w:rFonts w:ascii="Footlight MT Light" w:hAnsi="Footlight MT Light"/>
                <w:b/>
                <w:bCs/>
                <w:sz w:val="14"/>
                <w:szCs w:val="14"/>
                <w:u w:val="single"/>
              </w:rPr>
            </w:pPr>
            <w:hyperlink r:id="rId25" w:history="1">
              <w:r w:rsidRPr="00AD7A6C">
                <w:rPr>
                  <w:rStyle w:val="Hyperlink"/>
                  <w:rFonts w:ascii="Footlight MT Light" w:hAnsi="Footlight MT Light"/>
                  <w:b/>
                  <w:bCs/>
                  <w:color w:val="auto"/>
                  <w:sz w:val="14"/>
                  <w:szCs w:val="14"/>
                </w:rPr>
                <w:t>https://www.nuprc.gov.ng/acreage-situation-reports/</w:t>
              </w:r>
            </w:hyperlink>
          </w:p>
        </w:tc>
        <w:tc>
          <w:tcPr>
            <w:tcW w:w="1984" w:type="dxa"/>
            <w:hideMark/>
          </w:tcPr>
          <w:p w14:paraId="7FEFF06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32E6496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NNPCL</w:t>
            </w:r>
          </w:p>
        </w:tc>
      </w:tr>
      <w:tr w:rsidR="00AD7A6C" w:rsidRPr="00AD7A6C" w14:paraId="3152F853" w14:textId="77777777" w:rsidTr="00D25F15">
        <w:trPr>
          <w:trHeight w:val="960"/>
        </w:trPr>
        <w:tc>
          <w:tcPr>
            <w:tcW w:w="11058" w:type="dxa"/>
            <w:gridSpan w:val="10"/>
            <w:noWrap/>
            <w:hideMark/>
          </w:tcPr>
          <w:p w14:paraId="74CB2B8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758EBA85" w14:textId="77777777" w:rsidTr="00ED4F42">
        <w:trPr>
          <w:trHeight w:val="1524"/>
        </w:trPr>
        <w:tc>
          <w:tcPr>
            <w:tcW w:w="284" w:type="dxa"/>
            <w:vMerge w:val="restart"/>
            <w:noWrap/>
            <w:hideMark/>
          </w:tcPr>
          <w:p w14:paraId="570D46D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3</w:t>
            </w:r>
          </w:p>
        </w:tc>
        <w:tc>
          <w:tcPr>
            <w:tcW w:w="1843" w:type="dxa"/>
            <w:vMerge w:val="restart"/>
            <w:hideMark/>
          </w:tcPr>
          <w:p w14:paraId="33648DC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Exploration and Production Data Disclosures</w:t>
            </w:r>
          </w:p>
        </w:tc>
        <w:tc>
          <w:tcPr>
            <w:tcW w:w="993" w:type="dxa"/>
            <w:noWrap/>
            <w:hideMark/>
          </w:tcPr>
          <w:p w14:paraId="339F46E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3.1</w:t>
            </w:r>
          </w:p>
        </w:tc>
        <w:tc>
          <w:tcPr>
            <w:tcW w:w="283" w:type="dxa"/>
            <w:noWrap/>
            <w:hideMark/>
          </w:tcPr>
          <w:p w14:paraId="006F2C2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3FDF57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00BF990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515E4D9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3 pg46), (NEITI Report SM 2021 Chapter3 pg23)</w:t>
            </w:r>
          </w:p>
        </w:tc>
        <w:tc>
          <w:tcPr>
            <w:tcW w:w="2268" w:type="dxa"/>
            <w:noWrap/>
            <w:hideMark/>
          </w:tcPr>
          <w:p w14:paraId="29D3DF4B" w14:textId="77777777" w:rsidR="00B531CF" w:rsidRPr="00AD7A6C" w:rsidRDefault="00B531CF" w:rsidP="00B531CF">
            <w:pPr>
              <w:tabs>
                <w:tab w:val="left" w:pos="720"/>
              </w:tabs>
              <w:jc w:val="both"/>
              <w:rPr>
                <w:rFonts w:ascii="Footlight MT Light" w:hAnsi="Footlight MT Light"/>
                <w:b/>
                <w:bCs/>
                <w:sz w:val="14"/>
                <w:szCs w:val="14"/>
                <w:u w:val="single"/>
              </w:rPr>
            </w:pPr>
            <w:hyperlink r:id="rId26" w:history="1">
              <w:r w:rsidRPr="00AD7A6C">
                <w:rPr>
                  <w:rStyle w:val="Hyperlink"/>
                  <w:rFonts w:ascii="Footlight MT Light" w:hAnsi="Footlight MT Light"/>
                  <w:b/>
                  <w:bCs/>
                  <w:color w:val="auto"/>
                  <w:sz w:val="14"/>
                  <w:szCs w:val="14"/>
                </w:rPr>
                <w:t>nuprc.gov.ng/wp-content/uploads/2024/04/2024-FBED-Plan.pdf</w:t>
              </w:r>
            </w:hyperlink>
          </w:p>
        </w:tc>
        <w:tc>
          <w:tcPr>
            <w:tcW w:w="1984" w:type="dxa"/>
            <w:hideMark/>
          </w:tcPr>
          <w:p w14:paraId="402A171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Oil Spill Detection and Response Agency (establishment) Act 2006</w:t>
            </w:r>
          </w:p>
        </w:tc>
        <w:tc>
          <w:tcPr>
            <w:tcW w:w="851" w:type="dxa"/>
            <w:hideMark/>
          </w:tcPr>
          <w:p w14:paraId="29C494D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Federal Ministry of Environment(NOSDRA)</w:t>
            </w:r>
          </w:p>
        </w:tc>
      </w:tr>
      <w:tr w:rsidR="00AD7A6C" w:rsidRPr="00AD7A6C" w14:paraId="73E8BBA6" w14:textId="77777777" w:rsidTr="00ED4F42">
        <w:trPr>
          <w:trHeight w:val="1524"/>
        </w:trPr>
        <w:tc>
          <w:tcPr>
            <w:tcW w:w="284" w:type="dxa"/>
            <w:vMerge/>
            <w:hideMark/>
          </w:tcPr>
          <w:p w14:paraId="7F9665EA"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47D0CDE6"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3077CF3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3.2</w:t>
            </w:r>
          </w:p>
        </w:tc>
        <w:tc>
          <w:tcPr>
            <w:tcW w:w="283" w:type="dxa"/>
            <w:noWrap/>
            <w:hideMark/>
          </w:tcPr>
          <w:p w14:paraId="7F544E1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044802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EF624A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03E7E5A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3 pg46), (NEITI Report SM 2021 Chapter3 pg25)</w:t>
            </w:r>
          </w:p>
        </w:tc>
        <w:tc>
          <w:tcPr>
            <w:tcW w:w="2268" w:type="dxa"/>
            <w:noWrap/>
            <w:hideMark/>
          </w:tcPr>
          <w:p w14:paraId="7261A469" w14:textId="77777777" w:rsidR="00B531CF" w:rsidRPr="00AD7A6C" w:rsidRDefault="00B531CF" w:rsidP="00B531CF">
            <w:pPr>
              <w:tabs>
                <w:tab w:val="left" w:pos="720"/>
              </w:tabs>
              <w:jc w:val="both"/>
              <w:rPr>
                <w:rFonts w:ascii="Footlight MT Light" w:hAnsi="Footlight MT Light"/>
                <w:b/>
                <w:bCs/>
                <w:sz w:val="14"/>
                <w:szCs w:val="14"/>
                <w:u w:val="single"/>
              </w:rPr>
            </w:pPr>
            <w:hyperlink r:id="rId27" w:history="1">
              <w:r w:rsidRPr="00AD7A6C">
                <w:rPr>
                  <w:rStyle w:val="Hyperlink"/>
                  <w:rFonts w:ascii="Footlight MT Light" w:hAnsi="Footlight MT Light"/>
                  <w:b/>
                  <w:bCs/>
                  <w:color w:val="auto"/>
                  <w:sz w:val="14"/>
                  <w:szCs w:val="14"/>
                </w:rPr>
                <w:t>NNPC LTD | Filesystem - NNPC Limited Disclosures (nnpcgroup.com)</w:t>
              </w:r>
            </w:hyperlink>
          </w:p>
        </w:tc>
        <w:tc>
          <w:tcPr>
            <w:tcW w:w="1984" w:type="dxa"/>
            <w:hideMark/>
          </w:tcPr>
          <w:p w14:paraId="26ED363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7545054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NNPCL</w:t>
            </w:r>
          </w:p>
        </w:tc>
      </w:tr>
      <w:tr w:rsidR="00AD7A6C" w:rsidRPr="00AD7A6C" w14:paraId="094CDBCD" w14:textId="77777777" w:rsidTr="00ED4F42">
        <w:trPr>
          <w:trHeight w:val="1524"/>
        </w:trPr>
        <w:tc>
          <w:tcPr>
            <w:tcW w:w="284" w:type="dxa"/>
            <w:vMerge/>
            <w:hideMark/>
          </w:tcPr>
          <w:p w14:paraId="4273D281"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05F7ACC"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19F6DF7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3.3</w:t>
            </w:r>
          </w:p>
        </w:tc>
        <w:tc>
          <w:tcPr>
            <w:tcW w:w="283" w:type="dxa"/>
            <w:noWrap/>
            <w:hideMark/>
          </w:tcPr>
          <w:p w14:paraId="2EE6CB4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711BC8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E7AA7C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3282D56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3 pg47), (NEITI Report SM 2021 Chapter3 pg28)</w:t>
            </w:r>
          </w:p>
        </w:tc>
        <w:tc>
          <w:tcPr>
            <w:tcW w:w="2268" w:type="dxa"/>
            <w:noWrap/>
            <w:hideMark/>
          </w:tcPr>
          <w:p w14:paraId="6042C4E3" w14:textId="77777777" w:rsidR="00B531CF" w:rsidRPr="00AD7A6C" w:rsidRDefault="00B531CF" w:rsidP="00B531CF">
            <w:pPr>
              <w:tabs>
                <w:tab w:val="left" w:pos="720"/>
              </w:tabs>
              <w:jc w:val="both"/>
              <w:rPr>
                <w:rFonts w:ascii="Footlight MT Light" w:hAnsi="Footlight MT Light"/>
                <w:b/>
                <w:bCs/>
                <w:sz w:val="14"/>
                <w:szCs w:val="14"/>
                <w:u w:val="single"/>
              </w:rPr>
            </w:pPr>
            <w:hyperlink r:id="rId28" w:history="1">
              <w:r w:rsidRPr="00AD7A6C">
                <w:rPr>
                  <w:rStyle w:val="Hyperlink"/>
                  <w:rFonts w:ascii="Footlight MT Light" w:hAnsi="Footlight MT Light"/>
                  <w:b/>
                  <w:bCs/>
                  <w:color w:val="auto"/>
                  <w:sz w:val="14"/>
                  <w:szCs w:val="14"/>
                </w:rPr>
                <w:t>(1)Oil Production Status Report – Nigerian Upstream Petroleum Regulatory Commission (nuprc.gov.ng) (2)https://www.nuprc.gov.ng/oil-production-status-report/</w:t>
              </w:r>
            </w:hyperlink>
          </w:p>
        </w:tc>
        <w:tc>
          <w:tcPr>
            <w:tcW w:w="1984" w:type="dxa"/>
            <w:hideMark/>
          </w:tcPr>
          <w:p w14:paraId="7C880FD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Minerals andMining Act 2007</w:t>
            </w:r>
          </w:p>
        </w:tc>
        <w:tc>
          <w:tcPr>
            <w:tcW w:w="851" w:type="dxa"/>
            <w:hideMark/>
          </w:tcPr>
          <w:p w14:paraId="0AD4304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MMSD, NUPRC, NNPCL</w:t>
            </w:r>
          </w:p>
        </w:tc>
      </w:tr>
      <w:tr w:rsidR="00AD7A6C" w:rsidRPr="00AD7A6C" w14:paraId="01AB4B88" w14:textId="77777777" w:rsidTr="00ED4F42">
        <w:trPr>
          <w:trHeight w:val="324"/>
        </w:trPr>
        <w:tc>
          <w:tcPr>
            <w:tcW w:w="284" w:type="dxa"/>
            <w:noWrap/>
            <w:hideMark/>
          </w:tcPr>
          <w:p w14:paraId="6499104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5F13491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01E7DF8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776442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4F20B84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5494F4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58745E4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03523FD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0568A1E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1A170F1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17BEE119" w14:textId="77777777" w:rsidTr="00D25F15">
        <w:trPr>
          <w:trHeight w:val="780"/>
        </w:trPr>
        <w:tc>
          <w:tcPr>
            <w:tcW w:w="11058" w:type="dxa"/>
            <w:gridSpan w:val="10"/>
            <w:noWrap/>
            <w:hideMark/>
          </w:tcPr>
          <w:p w14:paraId="237D44A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44F8A970" w14:textId="77777777" w:rsidTr="00ED4F42">
        <w:trPr>
          <w:trHeight w:val="579"/>
        </w:trPr>
        <w:tc>
          <w:tcPr>
            <w:tcW w:w="284" w:type="dxa"/>
            <w:vMerge w:val="restart"/>
            <w:noWrap/>
            <w:hideMark/>
          </w:tcPr>
          <w:p w14:paraId="10CE2D9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w:t>
            </w:r>
          </w:p>
        </w:tc>
        <w:tc>
          <w:tcPr>
            <w:tcW w:w="1843" w:type="dxa"/>
            <w:vMerge w:val="restart"/>
            <w:hideMark/>
          </w:tcPr>
          <w:p w14:paraId="50B7260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Social Expenditures and Environmental</w:t>
            </w:r>
            <w:r w:rsidRPr="00AD7A6C">
              <w:rPr>
                <w:rFonts w:ascii="Footlight MT Light" w:hAnsi="Footlight MT Light"/>
                <w:b/>
                <w:bCs/>
                <w:sz w:val="14"/>
                <w:szCs w:val="14"/>
              </w:rPr>
              <w:br/>
              <w:t>Disclosures</w:t>
            </w:r>
          </w:p>
        </w:tc>
        <w:tc>
          <w:tcPr>
            <w:tcW w:w="993" w:type="dxa"/>
            <w:noWrap/>
            <w:hideMark/>
          </w:tcPr>
          <w:p w14:paraId="1D3B810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6.1</w:t>
            </w:r>
          </w:p>
        </w:tc>
        <w:tc>
          <w:tcPr>
            <w:tcW w:w="283" w:type="dxa"/>
            <w:noWrap/>
            <w:hideMark/>
          </w:tcPr>
          <w:p w14:paraId="0ED2941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3F86D01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1EA485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03E5213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7 pg121-122), (NEITI Report SM 2021 Chapter6 pg68)</w:t>
            </w:r>
          </w:p>
        </w:tc>
        <w:tc>
          <w:tcPr>
            <w:tcW w:w="2268" w:type="dxa"/>
            <w:noWrap/>
            <w:hideMark/>
          </w:tcPr>
          <w:p w14:paraId="08383A5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7023AD2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23B72AF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77C4510A" w14:textId="77777777" w:rsidTr="00ED4F42">
        <w:trPr>
          <w:trHeight w:val="1188"/>
        </w:trPr>
        <w:tc>
          <w:tcPr>
            <w:tcW w:w="284" w:type="dxa"/>
            <w:vMerge/>
            <w:hideMark/>
          </w:tcPr>
          <w:p w14:paraId="128907C1"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DFB3754"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19865E8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6.2</w:t>
            </w:r>
          </w:p>
        </w:tc>
        <w:tc>
          <w:tcPr>
            <w:tcW w:w="283" w:type="dxa"/>
            <w:noWrap/>
            <w:hideMark/>
          </w:tcPr>
          <w:p w14:paraId="52E5C9D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547D4B0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5B3D9B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3FB3B4E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7 pg122), (NEITI Report SM 2021 Chapter6 pg69)</w:t>
            </w:r>
          </w:p>
        </w:tc>
        <w:tc>
          <w:tcPr>
            <w:tcW w:w="2268" w:type="dxa"/>
            <w:noWrap/>
            <w:hideMark/>
          </w:tcPr>
          <w:p w14:paraId="6C2F7B3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749819B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National social Protection Policy</w:t>
            </w:r>
          </w:p>
        </w:tc>
        <w:tc>
          <w:tcPr>
            <w:tcW w:w="851" w:type="dxa"/>
            <w:hideMark/>
          </w:tcPr>
          <w:p w14:paraId="0A1F8F2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Federal Ministry of Solid Mineral Development</w:t>
            </w:r>
            <w:r w:rsidRPr="00AD7A6C">
              <w:rPr>
                <w:rFonts w:ascii="Footlight MT Light" w:hAnsi="Footlight MT Light"/>
                <w:b/>
                <w:bCs/>
                <w:sz w:val="14"/>
                <w:szCs w:val="14"/>
              </w:rPr>
              <w:br/>
              <w:t>and mineral resoursec and environment</w:t>
            </w:r>
            <w:r w:rsidRPr="00AD7A6C">
              <w:rPr>
                <w:rFonts w:ascii="Footlight MT Light" w:hAnsi="Footlight MT Light"/>
                <w:b/>
                <w:bCs/>
                <w:sz w:val="14"/>
                <w:szCs w:val="14"/>
              </w:rPr>
              <w:br/>
              <w:t>management committee</w:t>
            </w:r>
          </w:p>
        </w:tc>
      </w:tr>
      <w:tr w:rsidR="00AD7A6C" w:rsidRPr="00AD7A6C" w14:paraId="6C081D74" w14:textId="77777777" w:rsidTr="00ED4F42">
        <w:trPr>
          <w:trHeight w:val="1128"/>
        </w:trPr>
        <w:tc>
          <w:tcPr>
            <w:tcW w:w="284" w:type="dxa"/>
            <w:vMerge/>
            <w:hideMark/>
          </w:tcPr>
          <w:p w14:paraId="4165E677"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D474A8E"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330415E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6.3</w:t>
            </w:r>
          </w:p>
        </w:tc>
        <w:tc>
          <w:tcPr>
            <w:tcW w:w="283" w:type="dxa"/>
            <w:noWrap/>
            <w:hideMark/>
          </w:tcPr>
          <w:p w14:paraId="3ECA3E7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FCBA13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71F3AA9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2BE4624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7 pg126), (NEITI Report SM 2021 Chapter6 pg69-74)</w:t>
            </w:r>
          </w:p>
        </w:tc>
        <w:tc>
          <w:tcPr>
            <w:tcW w:w="2268" w:type="dxa"/>
            <w:noWrap/>
            <w:hideMark/>
          </w:tcPr>
          <w:p w14:paraId="739C497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DBC239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Harmful Waste Act (2004)</w:t>
            </w:r>
          </w:p>
        </w:tc>
        <w:tc>
          <w:tcPr>
            <w:tcW w:w="851" w:type="dxa"/>
            <w:hideMark/>
          </w:tcPr>
          <w:p w14:paraId="45AF2AC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Federal Ministry of Environment</w:t>
            </w:r>
          </w:p>
        </w:tc>
      </w:tr>
      <w:tr w:rsidR="00AD7A6C" w:rsidRPr="00AD7A6C" w14:paraId="34A58C26" w14:textId="77777777" w:rsidTr="00ED4F42">
        <w:trPr>
          <w:trHeight w:val="792"/>
        </w:trPr>
        <w:tc>
          <w:tcPr>
            <w:tcW w:w="284" w:type="dxa"/>
            <w:vMerge/>
            <w:hideMark/>
          </w:tcPr>
          <w:p w14:paraId="0E5EE833"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69FEA625"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vMerge w:val="restart"/>
            <w:noWrap/>
            <w:hideMark/>
          </w:tcPr>
          <w:p w14:paraId="6938CD6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6.4</w:t>
            </w:r>
          </w:p>
        </w:tc>
        <w:tc>
          <w:tcPr>
            <w:tcW w:w="283" w:type="dxa"/>
            <w:noWrap/>
            <w:hideMark/>
          </w:tcPr>
          <w:p w14:paraId="432DD5B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506BD43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3BA52C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2E06404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7 pg126, 127, 129), (NEITI Report SM 2021 Chapter6 pg75-78)</w:t>
            </w:r>
          </w:p>
        </w:tc>
        <w:tc>
          <w:tcPr>
            <w:tcW w:w="2268" w:type="dxa"/>
            <w:noWrap/>
            <w:hideMark/>
          </w:tcPr>
          <w:p w14:paraId="40DC050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53B9002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Environment Impact Assessment Act (2004)</w:t>
            </w:r>
          </w:p>
        </w:tc>
        <w:tc>
          <w:tcPr>
            <w:tcW w:w="851" w:type="dxa"/>
            <w:hideMark/>
          </w:tcPr>
          <w:p w14:paraId="7B48D87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National Environmental Standards</w:t>
            </w:r>
            <w:r w:rsidRPr="00AD7A6C">
              <w:rPr>
                <w:rFonts w:ascii="Footlight MT Light" w:hAnsi="Footlight MT Light"/>
                <w:b/>
                <w:bCs/>
                <w:sz w:val="14"/>
                <w:szCs w:val="14"/>
              </w:rPr>
              <w:br/>
              <w:t>and Regulations Enforcement</w:t>
            </w:r>
            <w:r w:rsidRPr="00AD7A6C">
              <w:rPr>
                <w:rFonts w:ascii="Footlight MT Light" w:hAnsi="Footlight MT Light"/>
                <w:b/>
                <w:bCs/>
                <w:sz w:val="14"/>
                <w:szCs w:val="14"/>
              </w:rPr>
              <w:br/>
              <w:t>Agency</w:t>
            </w:r>
          </w:p>
        </w:tc>
      </w:tr>
      <w:tr w:rsidR="00AD7A6C" w:rsidRPr="00AD7A6C" w14:paraId="3CE16FF3" w14:textId="77777777" w:rsidTr="00ED4F42">
        <w:trPr>
          <w:trHeight w:val="1524"/>
        </w:trPr>
        <w:tc>
          <w:tcPr>
            <w:tcW w:w="284" w:type="dxa"/>
            <w:vMerge/>
            <w:hideMark/>
          </w:tcPr>
          <w:p w14:paraId="4DFE60C0"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32D28283"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vMerge/>
            <w:hideMark/>
          </w:tcPr>
          <w:p w14:paraId="50E5B07C" w14:textId="77777777" w:rsidR="00B531CF" w:rsidRPr="00AD7A6C" w:rsidRDefault="00B531CF" w:rsidP="00B531CF">
            <w:pPr>
              <w:tabs>
                <w:tab w:val="left" w:pos="720"/>
              </w:tabs>
              <w:jc w:val="both"/>
              <w:rPr>
                <w:rFonts w:ascii="Footlight MT Light" w:hAnsi="Footlight MT Light"/>
                <w:b/>
                <w:bCs/>
                <w:sz w:val="14"/>
                <w:szCs w:val="14"/>
              </w:rPr>
            </w:pPr>
          </w:p>
        </w:tc>
        <w:tc>
          <w:tcPr>
            <w:tcW w:w="283" w:type="dxa"/>
            <w:noWrap/>
            <w:hideMark/>
          </w:tcPr>
          <w:p w14:paraId="16B0572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060CE97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865095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hideMark/>
          </w:tcPr>
          <w:p w14:paraId="1725292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OGA 2021 Report Chapt 7 pg 126-), (NEITI SMA 2021 Report Chapt 6 pg 75)</w:t>
            </w:r>
          </w:p>
        </w:tc>
        <w:tc>
          <w:tcPr>
            <w:tcW w:w="2268" w:type="dxa"/>
            <w:noWrap/>
            <w:hideMark/>
          </w:tcPr>
          <w:p w14:paraId="07A8740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647795C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Nigeria Mineral and Mining Act (2007)</w:t>
            </w:r>
          </w:p>
        </w:tc>
        <w:tc>
          <w:tcPr>
            <w:tcW w:w="851" w:type="dxa"/>
            <w:hideMark/>
          </w:tcPr>
          <w:p w14:paraId="5ABA6C8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3924B79A" w14:textId="77777777" w:rsidTr="00ED4F42">
        <w:trPr>
          <w:trHeight w:val="324"/>
        </w:trPr>
        <w:tc>
          <w:tcPr>
            <w:tcW w:w="284" w:type="dxa"/>
            <w:vMerge/>
            <w:hideMark/>
          </w:tcPr>
          <w:p w14:paraId="2F908403"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56252C8C"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vMerge/>
            <w:hideMark/>
          </w:tcPr>
          <w:p w14:paraId="6B2ADF4F" w14:textId="77777777" w:rsidR="00B531CF" w:rsidRPr="00AD7A6C" w:rsidRDefault="00B531CF" w:rsidP="00B531CF">
            <w:pPr>
              <w:tabs>
                <w:tab w:val="left" w:pos="720"/>
              </w:tabs>
              <w:jc w:val="both"/>
              <w:rPr>
                <w:rFonts w:ascii="Footlight MT Light" w:hAnsi="Footlight MT Light"/>
                <w:b/>
                <w:bCs/>
                <w:sz w:val="14"/>
                <w:szCs w:val="14"/>
              </w:rPr>
            </w:pPr>
          </w:p>
        </w:tc>
        <w:tc>
          <w:tcPr>
            <w:tcW w:w="283" w:type="dxa"/>
            <w:noWrap/>
            <w:hideMark/>
          </w:tcPr>
          <w:p w14:paraId="66C5BB7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4AB6392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4BBC1E8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0AEB2CA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7B1DE5A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5010F3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Nigeria Mining Regulation 2011</w:t>
            </w:r>
          </w:p>
        </w:tc>
        <w:tc>
          <w:tcPr>
            <w:tcW w:w="851" w:type="dxa"/>
            <w:hideMark/>
          </w:tcPr>
          <w:p w14:paraId="54B1841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7293DF32" w14:textId="77777777" w:rsidTr="00ED4F42">
        <w:trPr>
          <w:trHeight w:val="324"/>
        </w:trPr>
        <w:tc>
          <w:tcPr>
            <w:tcW w:w="284" w:type="dxa"/>
            <w:vMerge/>
            <w:hideMark/>
          </w:tcPr>
          <w:p w14:paraId="50A45B99"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4C5ACF74"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vMerge/>
            <w:hideMark/>
          </w:tcPr>
          <w:p w14:paraId="52D56AEF" w14:textId="77777777" w:rsidR="00B531CF" w:rsidRPr="00AD7A6C" w:rsidRDefault="00B531CF" w:rsidP="00B531CF">
            <w:pPr>
              <w:tabs>
                <w:tab w:val="left" w:pos="720"/>
              </w:tabs>
              <w:jc w:val="both"/>
              <w:rPr>
                <w:rFonts w:ascii="Footlight MT Light" w:hAnsi="Footlight MT Light"/>
                <w:b/>
                <w:bCs/>
                <w:sz w:val="14"/>
                <w:szCs w:val="14"/>
              </w:rPr>
            </w:pPr>
          </w:p>
        </w:tc>
        <w:tc>
          <w:tcPr>
            <w:tcW w:w="283" w:type="dxa"/>
            <w:noWrap/>
            <w:hideMark/>
          </w:tcPr>
          <w:p w14:paraId="60742BD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63C2A8D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DD4938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1F2D78B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2E7BEA6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62DD466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NOSDRA, NESREA</w:t>
            </w:r>
          </w:p>
        </w:tc>
        <w:tc>
          <w:tcPr>
            <w:tcW w:w="851" w:type="dxa"/>
            <w:hideMark/>
          </w:tcPr>
          <w:p w14:paraId="5DE3432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0F78E91A" w14:textId="77777777" w:rsidTr="00ED4F42">
        <w:trPr>
          <w:trHeight w:val="324"/>
        </w:trPr>
        <w:tc>
          <w:tcPr>
            <w:tcW w:w="284" w:type="dxa"/>
            <w:vMerge w:val="restart"/>
            <w:noWrap/>
            <w:hideMark/>
          </w:tcPr>
          <w:p w14:paraId="2DE66B9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5</w:t>
            </w:r>
          </w:p>
        </w:tc>
        <w:tc>
          <w:tcPr>
            <w:tcW w:w="1843" w:type="dxa"/>
            <w:vMerge w:val="restart"/>
            <w:noWrap/>
            <w:hideMark/>
          </w:tcPr>
          <w:p w14:paraId="7BB94A7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Gender Disclosures</w:t>
            </w:r>
          </w:p>
        </w:tc>
        <w:tc>
          <w:tcPr>
            <w:tcW w:w="993" w:type="dxa"/>
            <w:noWrap/>
            <w:hideMark/>
          </w:tcPr>
          <w:p w14:paraId="0E6A278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w:t>
            </w:r>
          </w:p>
        </w:tc>
        <w:tc>
          <w:tcPr>
            <w:tcW w:w="283" w:type="dxa"/>
            <w:noWrap/>
            <w:hideMark/>
          </w:tcPr>
          <w:p w14:paraId="197A079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7981ADC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7EF5870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val="restart"/>
            <w:noWrap/>
            <w:hideMark/>
          </w:tcPr>
          <w:p w14:paraId="2C4A3DF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3737CA2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725408F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1CE81BA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704D6E61" w14:textId="77777777" w:rsidTr="00ED4F42">
        <w:trPr>
          <w:trHeight w:val="852"/>
        </w:trPr>
        <w:tc>
          <w:tcPr>
            <w:tcW w:w="284" w:type="dxa"/>
            <w:vMerge/>
            <w:hideMark/>
          </w:tcPr>
          <w:p w14:paraId="2C93365B"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6990578"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5773A03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2.2</w:t>
            </w:r>
          </w:p>
        </w:tc>
        <w:tc>
          <w:tcPr>
            <w:tcW w:w="283" w:type="dxa"/>
            <w:noWrap/>
            <w:hideMark/>
          </w:tcPr>
          <w:p w14:paraId="09D62CB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787ED81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353532F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54F004C4"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hideMark/>
          </w:tcPr>
          <w:p w14:paraId="16F3BC68" w14:textId="77777777" w:rsidR="00B531CF" w:rsidRPr="00AD7A6C" w:rsidRDefault="00B531CF" w:rsidP="00B531CF">
            <w:pPr>
              <w:tabs>
                <w:tab w:val="left" w:pos="720"/>
              </w:tabs>
              <w:jc w:val="both"/>
              <w:rPr>
                <w:rFonts w:ascii="Footlight MT Light" w:hAnsi="Footlight MT Light"/>
                <w:b/>
                <w:bCs/>
                <w:sz w:val="14"/>
                <w:szCs w:val="14"/>
                <w:u w:val="single"/>
              </w:rPr>
            </w:pPr>
            <w:hyperlink r:id="rId29" w:history="1">
              <w:r w:rsidRPr="00AD7A6C">
                <w:rPr>
                  <w:rStyle w:val="Hyperlink"/>
                  <w:rFonts w:ascii="Footlight MT Light" w:hAnsi="Footlight MT Light"/>
                  <w:b/>
                  <w:bCs/>
                  <w:color w:val="auto"/>
                  <w:sz w:val="14"/>
                  <w:szCs w:val="14"/>
                </w:rPr>
                <w:t>The Rights of Women and Gender Related Matters - National Human Rights Commission (nigeriarights.gov.ng)</w:t>
              </w:r>
            </w:hyperlink>
          </w:p>
        </w:tc>
        <w:tc>
          <w:tcPr>
            <w:tcW w:w="1984" w:type="dxa"/>
            <w:hideMark/>
          </w:tcPr>
          <w:p w14:paraId="1F8F962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6280551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30A9FCD1" w14:textId="77777777" w:rsidTr="00ED4F42">
        <w:trPr>
          <w:trHeight w:val="480"/>
        </w:trPr>
        <w:tc>
          <w:tcPr>
            <w:tcW w:w="284" w:type="dxa"/>
            <w:vMerge/>
            <w:hideMark/>
          </w:tcPr>
          <w:p w14:paraId="65907852"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264D001"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208CBDF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5.2</w:t>
            </w:r>
          </w:p>
        </w:tc>
        <w:tc>
          <w:tcPr>
            <w:tcW w:w="283" w:type="dxa"/>
            <w:noWrap/>
            <w:hideMark/>
          </w:tcPr>
          <w:p w14:paraId="52613DB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7788A4A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020EC4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1A159C17"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4A11E39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2B54EB6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73D7963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1A646420" w14:textId="77777777" w:rsidTr="00ED4F42">
        <w:trPr>
          <w:trHeight w:val="312"/>
        </w:trPr>
        <w:tc>
          <w:tcPr>
            <w:tcW w:w="284" w:type="dxa"/>
            <w:vMerge/>
            <w:hideMark/>
          </w:tcPr>
          <w:p w14:paraId="0454B320"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406873E5"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0232E48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6.1</w:t>
            </w:r>
          </w:p>
        </w:tc>
        <w:tc>
          <w:tcPr>
            <w:tcW w:w="283" w:type="dxa"/>
            <w:noWrap/>
            <w:hideMark/>
          </w:tcPr>
          <w:p w14:paraId="757685D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5EFA08D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931E84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4AA8291B"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303DD7B0" w14:textId="77777777" w:rsidR="00B531CF" w:rsidRPr="00AD7A6C" w:rsidRDefault="00B531CF" w:rsidP="00B531CF">
            <w:pPr>
              <w:tabs>
                <w:tab w:val="left" w:pos="720"/>
              </w:tabs>
              <w:jc w:val="both"/>
              <w:rPr>
                <w:rFonts w:ascii="Footlight MT Light" w:hAnsi="Footlight MT Light"/>
                <w:b/>
                <w:bCs/>
                <w:sz w:val="14"/>
                <w:szCs w:val="14"/>
                <w:u w:val="single"/>
              </w:rPr>
            </w:pPr>
            <w:hyperlink r:id="rId30" w:history="1">
              <w:r w:rsidRPr="00AD7A6C">
                <w:rPr>
                  <w:rStyle w:val="Hyperlink"/>
                  <w:rFonts w:ascii="Footlight MT Light" w:hAnsi="Footlight MT Light"/>
                  <w:b/>
                  <w:bCs/>
                  <w:color w:val="auto"/>
                  <w:sz w:val="14"/>
                  <w:szCs w:val="14"/>
                </w:rPr>
                <w:t>INEC-GENDER-POLICY-2021-2025.pdf (inecnigeria.org)</w:t>
              </w:r>
            </w:hyperlink>
          </w:p>
        </w:tc>
        <w:tc>
          <w:tcPr>
            <w:tcW w:w="1984" w:type="dxa"/>
            <w:hideMark/>
          </w:tcPr>
          <w:p w14:paraId="4F883D7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38AB303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20B62964" w14:textId="77777777" w:rsidTr="00ED4F42">
        <w:trPr>
          <w:trHeight w:val="480"/>
        </w:trPr>
        <w:tc>
          <w:tcPr>
            <w:tcW w:w="284" w:type="dxa"/>
            <w:vMerge/>
            <w:hideMark/>
          </w:tcPr>
          <w:p w14:paraId="1861EC6E"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FB7F267"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4EDB4D5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6.3</w:t>
            </w:r>
          </w:p>
        </w:tc>
        <w:tc>
          <w:tcPr>
            <w:tcW w:w="283" w:type="dxa"/>
            <w:noWrap/>
            <w:hideMark/>
          </w:tcPr>
          <w:p w14:paraId="4E328FB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04C0578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1EA3C5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7219CA31"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626EABEA" w14:textId="77777777" w:rsidR="00B531CF" w:rsidRPr="00AD7A6C" w:rsidRDefault="00B531CF" w:rsidP="00B531CF">
            <w:pPr>
              <w:tabs>
                <w:tab w:val="left" w:pos="720"/>
              </w:tabs>
              <w:jc w:val="both"/>
              <w:rPr>
                <w:rFonts w:ascii="Footlight MT Light" w:hAnsi="Footlight MT Light"/>
                <w:b/>
                <w:bCs/>
                <w:sz w:val="14"/>
                <w:szCs w:val="14"/>
                <w:u w:val="single"/>
              </w:rPr>
            </w:pPr>
            <w:hyperlink r:id="rId31" w:history="1">
              <w:r w:rsidRPr="00AD7A6C">
                <w:rPr>
                  <w:rStyle w:val="Hyperlink"/>
                  <w:rFonts w:ascii="Footlight MT Light" w:hAnsi="Footlight MT Light"/>
                  <w:b/>
                  <w:bCs/>
                  <w:color w:val="auto"/>
                  <w:sz w:val="14"/>
                  <w:szCs w:val="14"/>
                </w:rPr>
                <w:t>The Rights of Women and Gender Related Matters - National Human Rights Commission (nigeriarights.gov.ng)</w:t>
              </w:r>
            </w:hyperlink>
          </w:p>
        </w:tc>
        <w:tc>
          <w:tcPr>
            <w:tcW w:w="1984" w:type="dxa"/>
            <w:vMerge w:val="restart"/>
            <w:hideMark/>
          </w:tcPr>
          <w:p w14:paraId="4AC6226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vMerge w:val="restart"/>
            <w:hideMark/>
          </w:tcPr>
          <w:p w14:paraId="2E23711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67624CBB" w14:textId="77777777" w:rsidTr="00ED4F42">
        <w:trPr>
          <w:trHeight w:val="432"/>
        </w:trPr>
        <w:tc>
          <w:tcPr>
            <w:tcW w:w="284" w:type="dxa"/>
            <w:vMerge/>
            <w:hideMark/>
          </w:tcPr>
          <w:p w14:paraId="075EB759"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57AC98E3"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1372283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6.4</w:t>
            </w:r>
          </w:p>
        </w:tc>
        <w:tc>
          <w:tcPr>
            <w:tcW w:w="283" w:type="dxa"/>
            <w:noWrap/>
            <w:hideMark/>
          </w:tcPr>
          <w:p w14:paraId="1D7D811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72CE81F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775D7B9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585AF7A4"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34DB39C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vMerge/>
            <w:hideMark/>
          </w:tcPr>
          <w:p w14:paraId="5945448A"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vMerge/>
            <w:hideMark/>
          </w:tcPr>
          <w:p w14:paraId="51633E85" w14:textId="77777777" w:rsidR="00B531CF" w:rsidRPr="00AD7A6C" w:rsidRDefault="00B531CF" w:rsidP="00B531CF">
            <w:pPr>
              <w:tabs>
                <w:tab w:val="left" w:pos="720"/>
              </w:tabs>
              <w:jc w:val="both"/>
              <w:rPr>
                <w:rFonts w:ascii="Footlight MT Light" w:hAnsi="Footlight MT Light"/>
                <w:b/>
                <w:bCs/>
                <w:sz w:val="14"/>
                <w:szCs w:val="14"/>
              </w:rPr>
            </w:pPr>
          </w:p>
        </w:tc>
      </w:tr>
      <w:tr w:rsidR="00AD7A6C" w:rsidRPr="00AD7A6C" w14:paraId="46087B07" w14:textId="77777777" w:rsidTr="00ED4F42">
        <w:trPr>
          <w:trHeight w:val="732"/>
        </w:trPr>
        <w:tc>
          <w:tcPr>
            <w:tcW w:w="284" w:type="dxa"/>
            <w:noWrap/>
            <w:hideMark/>
          </w:tcPr>
          <w:p w14:paraId="412688A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7E55965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34760E8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018396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C5F98B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A71511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1841695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207374C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0854541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262A764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1986DF87" w14:textId="77777777" w:rsidTr="00ED4F42">
        <w:trPr>
          <w:trHeight w:val="480"/>
        </w:trPr>
        <w:tc>
          <w:tcPr>
            <w:tcW w:w="284" w:type="dxa"/>
            <w:vMerge w:val="restart"/>
            <w:noWrap/>
            <w:hideMark/>
          </w:tcPr>
          <w:p w14:paraId="4E64915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w:t>
            </w:r>
          </w:p>
        </w:tc>
        <w:tc>
          <w:tcPr>
            <w:tcW w:w="1843" w:type="dxa"/>
            <w:vMerge w:val="restart"/>
            <w:noWrap/>
            <w:hideMark/>
          </w:tcPr>
          <w:p w14:paraId="0328694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Anti-Corruption Disclosures</w:t>
            </w:r>
          </w:p>
        </w:tc>
        <w:tc>
          <w:tcPr>
            <w:tcW w:w="993" w:type="dxa"/>
            <w:noWrap/>
            <w:hideMark/>
          </w:tcPr>
          <w:p w14:paraId="405ADAB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1.2b</w:t>
            </w:r>
          </w:p>
        </w:tc>
        <w:tc>
          <w:tcPr>
            <w:tcW w:w="283" w:type="dxa"/>
            <w:noWrap/>
            <w:hideMark/>
          </w:tcPr>
          <w:p w14:paraId="7885CB9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FDF5AC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76AA941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08FFB2E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547F60F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35B8F40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137563E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4D12ACC9" w14:textId="77777777" w:rsidTr="00ED4F42">
        <w:trPr>
          <w:trHeight w:val="579"/>
        </w:trPr>
        <w:tc>
          <w:tcPr>
            <w:tcW w:w="284" w:type="dxa"/>
            <w:vMerge/>
            <w:hideMark/>
          </w:tcPr>
          <w:p w14:paraId="6639F783"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58D942A4"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21DE768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2.1a</w:t>
            </w:r>
          </w:p>
        </w:tc>
        <w:tc>
          <w:tcPr>
            <w:tcW w:w="283" w:type="dxa"/>
            <w:noWrap/>
            <w:hideMark/>
          </w:tcPr>
          <w:p w14:paraId="6E76EB6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3324CC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BB921B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284F9A7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10E57C0F" w14:textId="77777777" w:rsidR="00B531CF" w:rsidRPr="00AD7A6C" w:rsidRDefault="00B531CF" w:rsidP="00B531CF">
            <w:pPr>
              <w:tabs>
                <w:tab w:val="left" w:pos="720"/>
              </w:tabs>
              <w:jc w:val="both"/>
              <w:rPr>
                <w:rFonts w:ascii="Footlight MT Light" w:hAnsi="Footlight MT Light"/>
                <w:b/>
                <w:bCs/>
                <w:sz w:val="14"/>
                <w:szCs w:val="14"/>
                <w:u w:val="single"/>
              </w:rPr>
            </w:pPr>
            <w:hyperlink r:id="rId32" w:history="1">
              <w:r w:rsidRPr="00AD7A6C">
                <w:rPr>
                  <w:rStyle w:val="Hyperlink"/>
                  <w:rFonts w:ascii="Footlight MT Light" w:hAnsi="Footlight MT Light"/>
                  <w:b/>
                  <w:bCs/>
                  <w:color w:val="auto"/>
                  <w:sz w:val="14"/>
                  <w:szCs w:val="14"/>
                </w:rPr>
                <w:t>ICPC – Independent Corrupt Practices and Other Related Offences Commission, https://neiti.gov.ng/cms/wp-content/uploads/2023/01/NEITI-MoU-with-EFCC-1.pdf</w:t>
              </w:r>
            </w:hyperlink>
          </w:p>
        </w:tc>
        <w:tc>
          <w:tcPr>
            <w:tcW w:w="1984" w:type="dxa"/>
            <w:hideMark/>
          </w:tcPr>
          <w:p w14:paraId="4ED5011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Niger-Delta Development Commission (Establishment) Act 2000</w:t>
            </w:r>
          </w:p>
        </w:tc>
        <w:tc>
          <w:tcPr>
            <w:tcW w:w="851" w:type="dxa"/>
            <w:hideMark/>
          </w:tcPr>
          <w:p w14:paraId="5C97F80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NDDC</w:t>
            </w:r>
          </w:p>
        </w:tc>
      </w:tr>
      <w:tr w:rsidR="00AD7A6C" w:rsidRPr="00AD7A6C" w14:paraId="0F82174E" w14:textId="77777777" w:rsidTr="00ED4F42">
        <w:trPr>
          <w:trHeight w:val="816"/>
        </w:trPr>
        <w:tc>
          <w:tcPr>
            <w:tcW w:w="284" w:type="dxa"/>
            <w:vMerge/>
            <w:hideMark/>
          </w:tcPr>
          <w:p w14:paraId="607B741C"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B222EE2"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696D96B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2.3</w:t>
            </w:r>
          </w:p>
        </w:tc>
        <w:tc>
          <w:tcPr>
            <w:tcW w:w="283" w:type="dxa"/>
            <w:noWrap/>
            <w:hideMark/>
          </w:tcPr>
          <w:p w14:paraId="2C3B41F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785DB07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D48818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noWrap/>
            <w:hideMark/>
          </w:tcPr>
          <w:p w14:paraId="219D007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1F279D77" w14:textId="77777777" w:rsidR="00B531CF" w:rsidRPr="00AD7A6C" w:rsidRDefault="00B531CF" w:rsidP="00B531CF">
            <w:pPr>
              <w:tabs>
                <w:tab w:val="left" w:pos="720"/>
              </w:tabs>
              <w:jc w:val="both"/>
              <w:rPr>
                <w:rFonts w:ascii="Footlight MT Light" w:hAnsi="Footlight MT Light"/>
                <w:b/>
                <w:bCs/>
                <w:sz w:val="14"/>
                <w:szCs w:val="14"/>
                <w:u w:val="single"/>
              </w:rPr>
            </w:pPr>
            <w:hyperlink r:id="rId33" w:history="1">
              <w:r w:rsidRPr="00AD7A6C">
                <w:rPr>
                  <w:rStyle w:val="Hyperlink"/>
                  <w:rFonts w:ascii="Footlight MT Light" w:hAnsi="Footlight MT Light"/>
                  <w:b/>
                  <w:bCs/>
                  <w:color w:val="auto"/>
                  <w:sz w:val="14"/>
                  <w:szCs w:val="14"/>
                </w:rPr>
                <w:t>Economic and Financial Crimes Commission - EFCC - Economic and Financial Crimes Commission</w:t>
              </w:r>
            </w:hyperlink>
          </w:p>
        </w:tc>
        <w:tc>
          <w:tcPr>
            <w:tcW w:w="1984" w:type="dxa"/>
            <w:hideMark/>
          </w:tcPr>
          <w:p w14:paraId="4DD0959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Economic and Financial Crimes Commission Act 2004</w:t>
            </w:r>
          </w:p>
        </w:tc>
        <w:tc>
          <w:tcPr>
            <w:tcW w:w="851" w:type="dxa"/>
            <w:hideMark/>
          </w:tcPr>
          <w:p w14:paraId="560817B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EFCC, ICPC</w:t>
            </w:r>
          </w:p>
        </w:tc>
      </w:tr>
      <w:tr w:rsidR="00AD7A6C" w:rsidRPr="00AD7A6C" w14:paraId="0023D9A5" w14:textId="77777777" w:rsidTr="00ED4F42">
        <w:trPr>
          <w:trHeight w:val="1200"/>
        </w:trPr>
        <w:tc>
          <w:tcPr>
            <w:tcW w:w="284" w:type="dxa"/>
            <w:vMerge/>
            <w:hideMark/>
          </w:tcPr>
          <w:p w14:paraId="0CC4C6AF"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7406D5A7"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453F5CB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2.5</w:t>
            </w:r>
          </w:p>
        </w:tc>
        <w:tc>
          <w:tcPr>
            <w:tcW w:w="283" w:type="dxa"/>
            <w:noWrap/>
            <w:hideMark/>
          </w:tcPr>
          <w:p w14:paraId="2AD45B1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2FB7DBF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B7FA08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noWrap/>
            <w:hideMark/>
          </w:tcPr>
          <w:p w14:paraId="2A3E1B2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hideMark/>
          </w:tcPr>
          <w:p w14:paraId="2BA5A022" w14:textId="77777777" w:rsidR="00B531CF" w:rsidRPr="00AD7A6C" w:rsidRDefault="00B531CF" w:rsidP="00B531CF">
            <w:pPr>
              <w:tabs>
                <w:tab w:val="left" w:pos="720"/>
              </w:tabs>
              <w:jc w:val="both"/>
              <w:rPr>
                <w:rFonts w:ascii="Footlight MT Light" w:hAnsi="Footlight MT Light"/>
                <w:b/>
                <w:bCs/>
                <w:sz w:val="14"/>
                <w:szCs w:val="14"/>
                <w:u w:val="single"/>
              </w:rPr>
            </w:pPr>
            <w:hyperlink r:id="rId34" w:history="1">
              <w:r w:rsidRPr="00AD7A6C">
                <w:rPr>
                  <w:rStyle w:val="Hyperlink"/>
                  <w:rFonts w:ascii="Footlight MT Light" w:hAnsi="Footlight MT Light"/>
                  <w:b/>
                  <w:bCs/>
                  <w:color w:val="auto"/>
                  <w:sz w:val="14"/>
                  <w:szCs w:val="14"/>
                </w:rPr>
                <w:t>(1)Nigeria - Transparency.org, (2)https://nnpcgroup.com/documents/NNPC%20Ltd.%20Anti-Bribery%20And%20Corruption%20Policy</w:t>
              </w:r>
            </w:hyperlink>
          </w:p>
        </w:tc>
        <w:tc>
          <w:tcPr>
            <w:tcW w:w="1984" w:type="dxa"/>
            <w:hideMark/>
          </w:tcPr>
          <w:p w14:paraId="0BFD0BD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05BB5E7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TRANSPARENCY INTERNATIONAL</w:t>
            </w:r>
          </w:p>
        </w:tc>
      </w:tr>
      <w:tr w:rsidR="00AD7A6C" w:rsidRPr="00AD7A6C" w14:paraId="74337B69" w14:textId="77777777" w:rsidTr="00ED4F42">
        <w:trPr>
          <w:trHeight w:val="912"/>
        </w:trPr>
        <w:tc>
          <w:tcPr>
            <w:tcW w:w="284" w:type="dxa"/>
            <w:noWrap/>
            <w:hideMark/>
          </w:tcPr>
          <w:p w14:paraId="7A613D5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7F7A5D5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145B9FB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A0AB92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86DAAD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23FD14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354B413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2312BBD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20BC280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6D586BF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2795F9D2" w14:textId="77777777" w:rsidTr="00ED4F42">
        <w:trPr>
          <w:trHeight w:val="480"/>
        </w:trPr>
        <w:tc>
          <w:tcPr>
            <w:tcW w:w="284" w:type="dxa"/>
            <w:vMerge w:val="restart"/>
            <w:noWrap/>
            <w:hideMark/>
          </w:tcPr>
          <w:p w14:paraId="7612557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7</w:t>
            </w:r>
          </w:p>
        </w:tc>
        <w:tc>
          <w:tcPr>
            <w:tcW w:w="1843" w:type="dxa"/>
            <w:vMerge w:val="restart"/>
            <w:noWrap/>
            <w:hideMark/>
          </w:tcPr>
          <w:p w14:paraId="3865ACD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Energy Transition Disclosures</w:t>
            </w:r>
          </w:p>
        </w:tc>
        <w:tc>
          <w:tcPr>
            <w:tcW w:w="993" w:type="dxa"/>
            <w:noWrap/>
            <w:hideMark/>
          </w:tcPr>
          <w:p w14:paraId="2FA4A2A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w:t>
            </w:r>
          </w:p>
        </w:tc>
        <w:tc>
          <w:tcPr>
            <w:tcW w:w="283" w:type="dxa"/>
            <w:noWrap/>
            <w:hideMark/>
          </w:tcPr>
          <w:p w14:paraId="59FFAAE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04BD3B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805894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4770C11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4BAD3839" w14:textId="77777777" w:rsidR="00B531CF" w:rsidRPr="00AD7A6C" w:rsidRDefault="00B531CF" w:rsidP="00B531CF">
            <w:pPr>
              <w:tabs>
                <w:tab w:val="left" w:pos="720"/>
              </w:tabs>
              <w:jc w:val="both"/>
              <w:rPr>
                <w:rFonts w:ascii="Footlight MT Light" w:hAnsi="Footlight MT Light"/>
                <w:b/>
                <w:bCs/>
                <w:sz w:val="14"/>
                <w:szCs w:val="14"/>
                <w:u w:val="single"/>
              </w:rPr>
            </w:pPr>
            <w:hyperlink r:id="rId35" w:history="1">
              <w:r w:rsidRPr="00AD7A6C">
                <w:rPr>
                  <w:rStyle w:val="Hyperlink"/>
                  <w:rFonts w:ascii="Footlight MT Light" w:hAnsi="Footlight MT Light"/>
                  <w:b/>
                  <w:bCs/>
                  <w:color w:val="auto"/>
                  <w:sz w:val="14"/>
                  <w:szCs w:val="14"/>
                </w:rPr>
                <w:t>https://neiti.gov.ng/cms/wp-content/uploads/2022/12/Communique-from-National-Dialogue-on-Energy-Transition-1.pdf,</w:t>
              </w:r>
            </w:hyperlink>
          </w:p>
        </w:tc>
        <w:tc>
          <w:tcPr>
            <w:tcW w:w="1984" w:type="dxa"/>
            <w:hideMark/>
          </w:tcPr>
          <w:p w14:paraId="4F52AF8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3223EF0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14574974" w14:textId="77777777" w:rsidTr="00ED4F42">
        <w:trPr>
          <w:trHeight w:val="540"/>
        </w:trPr>
        <w:tc>
          <w:tcPr>
            <w:tcW w:w="284" w:type="dxa"/>
            <w:vMerge/>
            <w:hideMark/>
          </w:tcPr>
          <w:p w14:paraId="3F9DC70E"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22EA2ECB"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0D11D8E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2.2</w:t>
            </w:r>
          </w:p>
        </w:tc>
        <w:tc>
          <w:tcPr>
            <w:tcW w:w="283" w:type="dxa"/>
            <w:noWrap/>
            <w:hideMark/>
          </w:tcPr>
          <w:p w14:paraId="00BA970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1141504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1B147A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591695D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527E415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509D70A2" w14:textId="77777777" w:rsidR="00B531CF" w:rsidRPr="00AD7A6C" w:rsidRDefault="00B531CF" w:rsidP="00B531CF">
            <w:pPr>
              <w:tabs>
                <w:tab w:val="left" w:pos="720"/>
              </w:tabs>
              <w:jc w:val="both"/>
              <w:rPr>
                <w:rFonts w:ascii="Footlight MT Light" w:hAnsi="Footlight MT Light"/>
                <w:b/>
                <w:bCs/>
                <w:sz w:val="14"/>
                <w:szCs w:val="14"/>
              </w:rPr>
            </w:pPr>
          </w:p>
        </w:tc>
        <w:tc>
          <w:tcPr>
            <w:tcW w:w="851" w:type="dxa"/>
            <w:hideMark/>
          </w:tcPr>
          <w:p w14:paraId="42F6E26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Federal Ministry of power </w:t>
            </w:r>
          </w:p>
        </w:tc>
      </w:tr>
      <w:tr w:rsidR="00AD7A6C" w:rsidRPr="00AD7A6C" w14:paraId="762B07A4" w14:textId="77777777" w:rsidTr="00ED4F42">
        <w:trPr>
          <w:trHeight w:val="480"/>
        </w:trPr>
        <w:tc>
          <w:tcPr>
            <w:tcW w:w="284" w:type="dxa"/>
            <w:vMerge/>
            <w:hideMark/>
          </w:tcPr>
          <w:p w14:paraId="73A9B30A"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504686E9"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3CB2714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2.6</w:t>
            </w:r>
          </w:p>
        </w:tc>
        <w:tc>
          <w:tcPr>
            <w:tcW w:w="283" w:type="dxa"/>
            <w:noWrap/>
            <w:hideMark/>
          </w:tcPr>
          <w:p w14:paraId="24B0D2C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E935DF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68954C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noWrap/>
            <w:hideMark/>
          </w:tcPr>
          <w:p w14:paraId="3D86340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6086D34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2F64F3E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Climate Change Act (2021)</w:t>
            </w:r>
          </w:p>
        </w:tc>
        <w:tc>
          <w:tcPr>
            <w:tcW w:w="851" w:type="dxa"/>
            <w:hideMark/>
          </w:tcPr>
          <w:p w14:paraId="4EED06C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47F9950C" w14:textId="77777777" w:rsidTr="00ED4F42">
        <w:trPr>
          <w:trHeight w:val="420"/>
        </w:trPr>
        <w:tc>
          <w:tcPr>
            <w:tcW w:w="284" w:type="dxa"/>
            <w:vMerge/>
            <w:hideMark/>
          </w:tcPr>
          <w:p w14:paraId="6BD1139D"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4EEA63BF"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11017E0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3.1</w:t>
            </w:r>
          </w:p>
        </w:tc>
        <w:tc>
          <w:tcPr>
            <w:tcW w:w="283" w:type="dxa"/>
            <w:noWrap/>
            <w:hideMark/>
          </w:tcPr>
          <w:p w14:paraId="014C1AF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5FB2984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189620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6E831B6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36BF55B3" w14:textId="77777777" w:rsidR="00B531CF" w:rsidRPr="00AD7A6C" w:rsidRDefault="00B531CF" w:rsidP="00B531CF">
            <w:pPr>
              <w:tabs>
                <w:tab w:val="left" w:pos="720"/>
              </w:tabs>
              <w:jc w:val="both"/>
              <w:rPr>
                <w:rFonts w:ascii="Footlight MT Light" w:hAnsi="Footlight MT Light"/>
                <w:b/>
                <w:bCs/>
                <w:sz w:val="14"/>
                <w:szCs w:val="14"/>
              </w:rPr>
            </w:pPr>
          </w:p>
        </w:tc>
        <w:tc>
          <w:tcPr>
            <w:tcW w:w="1984" w:type="dxa"/>
            <w:hideMark/>
          </w:tcPr>
          <w:p w14:paraId="654783A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Renewable Energy Master Plan</w:t>
            </w:r>
          </w:p>
        </w:tc>
        <w:tc>
          <w:tcPr>
            <w:tcW w:w="851" w:type="dxa"/>
            <w:hideMark/>
          </w:tcPr>
          <w:p w14:paraId="039360E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6F1644AD" w14:textId="77777777" w:rsidTr="00ED4F42">
        <w:trPr>
          <w:trHeight w:val="624"/>
        </w:trPr>
        <w:tc>
          <w:tcPr>
            <w:tcW w:w="284" w:type="dxa"/>
            <w:vMerge/>
            <w:hideMark/>
          </w:tcPr>
          <w:p w14:paraId="4CD7D55C"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0F2108C3"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0159C84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3.4</w:t>
            </w:r>
          </w:p>
        </w:tc>
        <w:tc>
          <w:tcPr>
            <w:tcW w:w="283" w:type="dxa"/>
            <w:noWrap/>
            <w:hideMark/>
          </w:tcPr>
          <w:p w14:paraId="6C642DE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5A42751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4292441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noWrap/>
            <w:hideMark/>
          </w:tcPr>
          <w:p w14:paraId="004A758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hideMark/>
          </w:tcPr>
          <w:p w14:paraId="438A9F38" w14:textId="77777777" w:rsidR="00B531CF" w:rsidRPr="00AD7A6C" w:rsidRDefault="00B531CF" w:rsidP="00B531CF">
            <w:pPr>
              <w:tabs>
                <w:tab w:val="left" w:pos="720"/>
              </w:tabs>
              <w:jc w:val="both"/>
              <w:rPr>
                <w:rFonts w:ascii="Footlight MT Light" w:hAnsi="Footlight MT Light"/>
                <w:b/>
                <w:bCs/>
                <w:sz w:val="14"/>
                <w:szCs w:val="14"/>
                <w:u w:val="single"/>
              </w:rPr>
            </w:pPr>
            <w:hyperlink r:id="rId36" w:history="1">
              <w:r w:rsidRPr="00AD7A6C">
                <w:rPr>
                  <w:rStyle w:val="Hyperlink"/>
                  <w:rFonts w:ascii="Footlight MT Light" w:hAnsi="Footlight MT Light"/>
                  <w:b/>
                  <w:bCs/>
                  <w:color w:val="auto"/>
                  <w:sz w:val="14"/>
                  <w:szCs w:val="14"/>
                </w:rPr>
                <w:t>https://natccc.gov.ng/</w:t>
              </w:r>
            </w:hyperlink>
          </w:p>
        </w:tc>
        <w:tc>
          <w:tcPr>
            <w:tcW w:w="1984" w:type="dxa"/>
            <w:hideMark/>
          </w:tcPr>
          <w:p w14:paraId="380AFA8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National Renewable Energy and Energy  Efficiency Policy (2015)</w:t>
            </w:r>
          </w:p>
        </w:tc>
        <w:tc>
          <w:tcPr>
            <w:tcW w:w="851" w:type="dxa"/>
            <w:hideMark/>
          </w:tcPr>
          <w:p w14:paraId="183973A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405FA223" w14:textId="77777777" w:rsidTr="00ED4F42">
        <w:trPr>
          <w:trHeight w:val="576"/>
        </w:trPr>
        <w:tc>
          <w:tcPr>
            <w:tcW w:w="284" w:type="dxa"/>
            <w:vMerge/>
            <w:hideMark/>
          </w:tcPr>
          <w:p w14:paraId="4455827B" w14:textId="77777777" w:rsidR="00B531CF" w:rsidRPr="00AD7A6C" w:rsidRDefault="00B531CF" w:rsidP="00B531CF">
            <w:pPr>
              <w:tabs>
                <w:tab w:val="left" w:pos="720"/>
              </w:tabs>
              <w:jc w:val="both"/>
              <w:rPr>
                <w:rFonts w:ascii="Footlight MT Light" w:hAnsi="Footlight MT Light"/>
                <w:b/>
                <w:bCs/>
                <w:sz w:val="14"/>
                <w:szCs w:val="14"/>
              </w:rPr>
            </w:pPr>
          </w:p>
        </w:tc>
        <w:tc>
          <w:tcPr>
            <w:tcW w:w="1843" w:type="dxa"/>
            <w:vMerge/>
            <w:hideMark/>
          </w:tcPr>
          <w:p w14:paraId="1F7B763D"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5E73B58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5.3</w:t>
            </w:r>
          </w:p>
        </w:tc>
        <w:tc>
          <w:tcPr>
            <w:tcW w:w="283" w:type="dxa"/>
            <w:noWrap/>
            <w:hideMark/>
          </w:tcPr>
          <w:p w14:paraId="1809200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11E16F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6A63CF9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121F566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57428E0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2F4E7503" w14:textId="77777777" w:rsidR="00B531CF" w:rsidRPr="00AD7A6C" w:rsidRDefault="00B531CF" w:rsidP="00B531CF">
            <w:pPr>
              <w:tabs>
                <w:tab w:val="left" w:pos="720"/>
              </w:tabs>
              <w:jc w:val="both"/>
              <w:rPr>
                <w:rFonts w:ascii="Footlight MT Light" w:hAnsi="Footlight MT Light"/>
                <w:b/>
                <w:bCs/>
                <w:sz w:val="14"/>
                <w:szCs w:val="14"/>
                <w:u w:val="single"/>
              </w:rPr>
            </w:pPr>
            <w:r w:rsidRPr="00AD7A6C">
              <w:rPr>
                <w:rFonts w:ascii="Footlight MT Light" w:hAnsi="Footlight MT Light"/>
                <w:b/>
                <w:bCs/>
                <w:sz w:val="14"/>
                <w:szCs w:val="14"/>
                <w:u w:val="single"/>
              </w:rPr>
              <w:t>The National Council on Climate Change</w:t>
            </w:r>
          </w:p>
        </w:tc>
        <w:tc>
          <w:tcPr>
            <w:tcW w:w="851" w:type="dxa"/>
            <w:hideMark/>
          </w:tcPr>
          <w:p w14:paraId="6FEBB3D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31EC3221" w14:textId="77777777" w:rsidTr="00ED4F42">
        <w:trPr>
          <w:trHeight w:val="579"/>
        </w:trPr>
        <w:tc>
          <w:tcPr>
            <w:tcW w:w="284" w:type="dxa"/>
            <w:noWrap/>
            <w:hideMark/>
          </w:tcPr>
          <w:p w14:paraId="2FDC00F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261CEA6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3E5A3F6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73E0F4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12DDFD7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951F88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08B735C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7796964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671078E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7DFB6F5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5321DF9F" w14:textId="77777777" w:rsidTr="00ED4F42">
        <w:trPr>
          <w:trHeight w:val="672"/>
        </w:trPr>
        <w:tc>
          <w:tcPr>
            <w:tcW w:w="284" w:type="dxa"/>
            <w:noWrap/>
            <w:hideMark/>
          </w:tcPr>
          <w:p w14:paraId="4D4BF2D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8</w:t>
            </w:r>
          </w:p>
        </w:tc>
        <w:tc>
          <w:tcPr>
            <w:tcW w:w="1843" w:type="dxa"/>
            <w:vMerge w:val="restart"/>
            <w:hideMark/>
          </w:tcPr>
          <w:p w14:paraId="75AF9CD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 Legal and Institutional Framework Related Disclosures </w:t>
            </w:r>
          </w:p>
        </w:tc>
        <w:tc>
          <w:tcPr>
            <w:tcW w:w="993" w:type="dxa"/>
            <w:noWrap/>
            <w:hideMark/>
          </w:tcPr>
          <w:p w14:paraId="6D2188B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1.1</w:t>
            </w:r>
          </w:p>
        </w:tc>
        <w:tc>
          <w:tcPr>
            <w:tcW w:w="283" w:type="dxa"/>
            <w:noWrap/>
            <w:hideMark/>
          </w:tcPr>
          <w:p w14:paraId="3A8620B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6A185F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D9D0FC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val="restart"/>
            <w:hideMark/>
          </w:tcPr>
          <w:p w14:paraId="4D72FDD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OGA 2021 Report Chapt 2 pg 21), (NEITI SMA 2021 Report Chapt 2 pg 10)</w:t>
            </w:r>
          </w:p>
        </w:tc>
        <w:tc>
          <w:tcPr>
            <w:tcW w:w="2268" w:type="dxa"/>
            <w:noWrap/>
            <w:hideMark/>
          </w:tcPr>
          <w:p w14:paraId="4F81E67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572711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526A4D3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0A0BF12E" w14:textId="77777777" w:rsidTr="00ED4F42">
        <w:trPr>
          <w:trHeight w:val="672"/>
        </w:trPr>
        <w:tc>
          <w:tcPr>
            <w:tcW w:w="284" w:type="dxa"/>
            <w:noWrap/>
            <w:hideMark/>
          </w:tcPr>
          <w:p w14:paraId="558CB50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12096DFD"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0ECD4F5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1.2</w:t>
            </w:r>
          </w:p>
        </w:tc>
        <w:tc>
          <w:tcPr>
            <w:tcW w:w="283" w:type="dxa"/>
            <w:noWrap/>
            <w:hideMark/>
          </w:tcPr>
          <w:p w14:paraId="75697A9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A90153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489F73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2BDD7024"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6923DE48" w14:textId="77777777" w:rsidR="00B531CF" w:rsidRPr="00AD7A6C" w:rsidRDefault="00B531CF" w:rsidP="00B531CF">
            <w:pPr>
              <w:tabs>
                <w:tab w:val="left" w:pos="720"/>
              </w:tabs>
              <w:jc w:val="both"/>
              <w:rPr>
                <w:rFonts w:ascii="Footlight MT Light" w:hAnsi="Footlight MT Light"/>
                <w:b/>
                <w:bCs/>
                <w:sz w:val="14"/>
                <w:szCs w:val="14"/>
                <w:u w:val="single"/>
              </w:rPr>
            </w:pPr>
            <w:hyperlink r:id="rId37" w:history="1">
              <w:r w:rsidRPr="00AD7A6C">
                <w:rPr>
                  <w:rStyle w:val="Hyperlink"/>
                  <w:rFonts w:ascii="Footlight MT Light" w:hAnsi="Footlight MT Light"/>
                  <w:b/>
                  <w:bCs/>
                  <w:color w:val="auto"/>
                  <w:sz w:val="14"/>
                  <w:szCs w:val="14"/>
                </w:rPr>
                <w:t>Federal Ministry of Justice</w:t>
              </w:r>
            </w:hyperlink>
          </w:p>
        </w:tc>
        <w:tc>
          <w:tcPr>
            <w:tcW w:w="1984" w:type="dxa"/>
            <w:noWrap/>
            <w:hideMark/>
          </w:tcPr>
          <w:p w14:paraId="20135BC1" w14:textId="77777777" w:rsidR="00B531CF" w:rsidRPr="00AD7A6C" w:rsidRDefault="00B531CF" w:rsidP="00B531CF">
            <w:pPr>
              <w:tabs>
                <w:tab w:val="left" w:pos="720"/>
              </w:tabs>
              <w:jc w:val="both"/>
              <w:rPr>
                <w:rFonts w:ascii="Footlight MT Light" w:hAnsi="Footlight MT Light"/>
                <w:b/>
                <w:bCs/>
                <w:sz w:val="14"/>
                <w:szCs w:val="14"/>
                <w:u w:val="single"/>
              </w:rPr>
            </w:pPr>
            <w:r w:rsidRPr="00AD7A6C">
              <w:rPr>
                <w:rFonts w:ascii="Footlight MT Light" w:hAnsi="Footlight MT Light"/>
                <w:b/>
                <w:bCs/>
                <w:sz w:val="14"/>
                <w:szCs w:val="14"/>
                <w:u w:val="single"/>
              </w:rPr>
              <w:t> </w:t>
            </w:r>
          </w:p>
        </w:tc>
        <w:tc>
          <w:tcPr>
            <w:tcW w:w="851" w:type="dxa"/>
            <w:hideMark/>
          </w:tcPr>
          <w:p w14:paraId="21B3CEA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2EF00558" w14:textId="77777777" w:rsidTr="00ED4F42">
        <w:trPr>
          <w:trHeight w:val="672"/>
        </w:trPr>
        <w:tc>
          <w:tcPr>
            <w:tcW w:w="284" w:type="dxa"/>
            <w:noWrap/>
            <w:hideMark/>
          </w:tcPr>
          <w:p w14:paraId="073025A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5D20B355"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4A8CAAE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1.3</w:t>
            </w:r>
          </w:p>
        </w:tc>
        <w:tc>
          <w:tcPr>
            <w:tcW w:w="283" w:type="dxa"/>
            <w:noWrap/>
            <w:hideMark/>
          </w:tcPr>
          <w:p w14:paraId="118556C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35E071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094333E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722A2ADB"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56BB17E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62900A8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4AF187B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7A90F290" w14:textId="77777777" w:rsidTr="00ED4F42">
        <w:trPr>
          <w:trHeight w:val="672"/>
        </w:trPr>
        <w:tc>
          <w:tcPr>
            <w:tcW w:w="284" w:type="dxa"/>
            <w:noWrap/>
            <w:hideMark/>
          </w:tcPr>
          <w:p w14:paraId="4909CB9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17D48321"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4EB7349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1.4</w:t>
            </w:r>
          </w:p>
        </w:tc>
        <w:tc>
          <w:tcPr>
            <w:tcW w:w="283" w:type="dxa"/>
            <w:noWrap/>
            <w:hideMark/>
          </w:tcPr>
          <w:p w14:paraId="6569A07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03E72C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6C67CA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57A8371B"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6B56E1F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7F28CFA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5BB2EF3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0CF5A6AF" w14:textId="77777777" w:rsidTr="00ED4F42">
        <w:trPr>
          <w:trHeight w:val="672"/>
        </w:trPr>
        <w:tc>
          <w:tcPr>
            <w:tcW w:w="284" w:type="dxa"/>
            <w:noWrap/>
            <w:hideMark/>
          </w:tcPr>
          <w:p w14:paraId="25B684B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660EF50A"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66DB6B2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1.5</w:t>
            </w:r>
          </w:p>
        </w:tc>
        <w:tc>
          <w:tcPr>
            <w:tcW w:w="283" w:type="dxa"/>
            <w:noWrap/>
            <w:hideMark/>
          </w:tcPr>
          <w:p w14:paraId="0AABA8C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7677287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459652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048B75D9"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7534BB0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02F7FA6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7E4DE27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6363A237" w14:textId="77777777" w:rsidTr="00ED4F42">
        <w:trPr>
          <w:trHeight w:val="1680"/>
        </w:trPr>
        <w:tc>
          <w:tcPr>
            <w:tcW w:w="284" w:type="dxa"/>
            <w:noWrap/>
            <w:hideMark/>
          </w:tcPr>
          <w:p w14:paraId="47083BA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lastRenderedPageBreak/>
              <w:t> </w:t>
            </w:r>
          </w:p>
        </w:tc>
        <w:tc>
          <w:tcPr>
            <w:tcW w:w="1843" w:type="dxa"/>
            <w:vMerge/>
            <w:hideMark/>
          </w:tcPr>
          <w:p w14:paraId="21E5325D"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70C9D23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w:t>
            </w:r>
          </w:p>
        </w:tc>
        <w:tc>
          <w:tcPr>
            <w:tcW w:w="283" w:type="dxa"/>
            <w:noWrap/>
            <w:hideMark/>
          </w:tcPr>
          <w:p w14:paraId="09920C7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2F57A4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E60434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2E025DC1"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hideMark/>
          </w:tcPr>
          <w:p w14:paraId="2BD36FDC" w14:textId="77777777" w:rsidR="00B531CF" w:rsidRPr="00AD7A6C" w:rsidRDefault="00B531CF" w:rsidP="00B531CF">
            <w:pPr>
              <w:tabs>
                <w:tab w:val="left" w:pos="720"/>
              </w:tabs>
              <w:jc w:val="both"/>
              <w:rPr>
                <w:rFonts w:ascii="Footlight MT Light" w:hAnsi="Footlight MT Light"/>
                <w:b/>
                <w:bCs/>
                <w:sz w:val="14"/>
                <w:szCs w:val="14"/>
                <w:u w:val="single"/>
              </w:rPr>
            </w:pPr>
            <w:hyperlink r:id="rId38" w:history="1">
              <w:r w:rsidRPr="00AD7A6C">
                <w:rPr>
                  <w:rStyle w:val="Hyperlink"/>
                  <w:rFonts w:ascii="Footlight MT Light" w:hAnsi="Footlight MT Light"/>
                  <w:b/>
                  <w:bCs/>
                  <w:color w:val="auto"/>
                  <w:sz w:val="14"/>
                  <w:szCs w:val="14"/>
                </w:rPr>
                <w:t>(1) Legal and Institutional Framework | NEITI,  (2)pia.gov.ng/wp-content/uploads/2022/08/PIA-2021_compressed-1.pdf, (3) https://nigeriarights.gov.ng/files/constitution.pdf</w:t>
              </w:r>
            </w:hyperlink>
          </w:p>
        </w:tc>
        <w:tc>
          <w:tcPr>
            <w:tcW w:w="1984" w:type="dxa"/>
            <w:hideMark/>
          </w:tcPr>
          <w:p w14:paraId="69770DFB" w14:textId="77777777" w:rsidR="00B531CF" w:rsidRPr="00AD7A6C" w:rsidRDefault="00B531CF" w:rsidP="00B531CF">
            <w:pPr>
              <w:tabs>
                <w:tab w:val="left" w:pos="720"/>
              </w:tabs>
              <w:jc w:val="both"/>
              <w:rPr>
                <w:rFonts w:ascii="Footlight MT Light" w:hAnsi="Footlight MT Light"/>
                <w:b/>
                <w:bCs/>
                <w:sz w:val="14"/>
                <w:szCs w:val="14"/>
                <w:u w:val="single"/>
              </w:rPr>
            </w:pPr>
            <w:r w:rsidRPr="00AD7A6C">
              <w:rPr>
                <w:rFonts w:ascii="Footlight MT Light" w:hAnsi="Footlight MT Light"/>
                <w:b/>
                <w:bCs/>
                <w:sz w:val="14"/>
                <w:szCs w:val="14"/>
                <w:u w:val="single"/>
              </w:rPr>
              <w:t>.</w:t>
            </w:r>
          </w:p>
        </w:tc>
        <w:tc>
          <w:tcPr>
            <w:tcW w:w="851" w:type="dxa"/>
            <w:hideMark/>
          </w:tcPr>
          <w:p w14:paraId="176045D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PIA 2021, 1999 Nigeria Constitution</w:t>
            </w:r>
          </w:p>
        </w:tc>
      </w:tr>
      <w:tr w:rsidR="00AD7A6C" w:rsidRPr="00AD7A6C" w14:paraId="0620033F" w14:textId="77777777" w:rsidTr="00ED4F42">
        <w:trPr>
          <w:trHeight w:val="744"/>
        </w:trPr>
        <w:tc>
          <w:tcPr>
            <w:tcW w:w="284" w:type="dxa"/>
            <w:noWrap/>
            <w:hideMark/>
          </w:tcPr>
          <w:p w14:paraId="00530DC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0D4406B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05C2BDF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AFEEEB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411890F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67E264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1090384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07CAFF1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11A9CBC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39FBA61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0F2BE33D" w14:textId="77777777" w:rsidTr="00ED4F42">
        <w:trPr>
          <w:trHeight w:val="480"/>
        </w:trPr>
        <w:tc>
          <w:tcPr>
            <w:tcW w:w="284" w:type="dxa"/>
            <w:noWrap/>
            <w:hideMark/>
          </w:tcPr>
          <w:p w14:paraId="15294C8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9</w:t>
            </w:r>
          </w:p>
        </w:tc>
        <w:tc>
          <w:tcPr>
            <w:tcW w:w="1843" w:type="dxa"/>
            <w:vMerge w:val="restart"/>
            <w:noWrap/>
            <w:hideMark/>
          </w:tcPr>
          <w:p w14:paraId="6C6972D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Reform Disclosure</w:t>
            </w:r>
          </w:p>
        </w:tc>
        <w:tc>
          <w:tcPr>
            <w:tcW w:w="993" w:type="dxa"/>
            <w:noWrap/>
            <w:hideMark/>
          </w:tcPr>
          <w:p w14:paraId="24678AD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2.1d</w:t>
            </w:r>
          </w:p>
        </w:tc>
        <w:tc>
          <w:tcPr>
            <w:tcW w:w="283" w:type="dxa"/>
            <w:noWrap/>
            <w:hideMark/>
          </w:tcPr>
          <w:p w14:paraId="3346CB0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DE697D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25CE37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val="restart"/>
            <w:hideMark/>
          </w:tcPr>
          <w:p w14:paraId="508EE81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Contextual information(Reform in NNPCL)</w:t>
            </w:r>
          </w:p>
        </w:tc>
        <w:tc>
          <w:tcPr>
            <w:tcW w:w="2268" w:type="dxa"/>
            <w:noWrap/>
            <w:hideMark/>
          </w:tcPr>
          <w:p w14:paraId="156B1D2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94AA76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5005F24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536D8C05" w14:textId="77777777" w:rsidTr="00ED4F42">
        <w:trPr>
          <w:trHeight w:val="480"/>
        </w:trPr>
        <w:tc>
          <w:tcPr>
            <w:tcW w:w="284" w:type="dxa"/>
            <w:noWrap/>
            <w:hideMark/>
          </w:tcPr>
          <w:p w14:paraId="21B9480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5C0DA044"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11CA3B7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2.1e</w:t>
            </w:r>
          </w:p>
        </w:tc>
        <w:tc>
          <w:tcPr>
            <w:tcW w:w="283" w:type="dxa"/>
            <w:noWrap/>
            <w:hideMark/>
          </w:tcPr>
          <w:p w14:paraId="16588AF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5DD70E4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E4C762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765D1891"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6C847C8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31AAC2B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7EFD388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46B9CFBC" w14:textId="77777777" w:rsidTr="00ED4F42">
        <w:trPr>
          <w:trHeight w:val="480"/>
        </w:trPr>
        <w:tc>
          <w:tcPr>
            <w:tcW w:w="284" w:type="dxa"/>
            <w:noWrap/>
            <w:hideMark/>
          </w:tcPr>
          <w:p w14:paraId="2CA1900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4D1F522E"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45A08F4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2.1f</w:t>
            </w:r>
          </w:p>
        </w:tc>
        <w:tc>
          <w:tcPr>
            <w:tcW w:w="283" w:type="dxa"/>
            <w:noWrap/>
            <w:hideMark/>
          </w:tcPr>
          <w:p w14:paraId="3BA60F4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6CA416B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E09409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74003C2B"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481130F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568F2FA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4E23993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46ADC98D" w14:textId="77777777" w:rsidTr="00ED4F42">
        <w:trPr>
          <w:trHeight w:val="1020"/>
        </w:trPr>
        <w:tc>
          <w:tcPr>
            <w:tcW w:w="284" w:type="dxa"/>
            <w:noWrap/>
            <w:hideMark/>
          </w:tcPr>
          <w:p w14:paraId="616349B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390F08C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10D1AA3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67AEE1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450CF5D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D3F50B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2108EEC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6EBDF24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08049CC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33FE87D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0DF30E36" w14:textId="77777777" w:rsidTr="00ED4F42">
        <w:trPr>
          <w:trHeight w:val="924"/>
        </w:trPr>
        <w:tc>
          <w:tcPr>
            <w:tcW w:w="284" w:type="dxa"/>
            <w:noWrap/>
            <w:hideMark/>
          </w:tcPr>
          <w:p w14:paraId="1419F18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10</w:t>
            </w:r>
          </w:p>
        </w:tc>
        <w:tc>
          <w:tcPr>
            <w:tcW w:w="1843" w:type="dxa"/>
            <w:noWrap/>
            <w:hideMark/>
          </w:tcPr>
          <w:p w14:paraId="4253909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Beneficial Ownership Data Disclosures</w:t>
            </w:r>
          </w:p>
        </w:tc>
        <w:tc>
          <w:tcPr>
            <w:tcW w:w="993" w:type="dxa"/>
            <w:noWrap/>
            <w:hideMark/>
          </w:tcPr>
          <w:p w14:paraId="1ADE2AA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2.5</w:t>
            </w:r>
          </w:p>
        </w:tc>
        <w:tc>
          <w:tcPr>
            <w:tcW w:w="283" w:type="dxa"/>
            <w:noWrap/>
            <w:hideMark/>
          </w:tcPr>
          <w:p w14:paraId="5816F49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03B1962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4EDB0FF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hideMark/>
          </w:tcPr>
          <w:p w14:paraId="45006BD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2021 Report Chapt 2 pg 33)</w:t>
            </w:r>
          </w:p>
        </w:tc>
        <w:tc>
          <w:tcPr>
            <w:tcW w:w="2268" w:type="dxa"/>
            <w:noWrap/>
            <w:hideMark/>
          </w:tcPr>
          <w:p w14:paraId="3C3613A3" w14:textId="77777777" w:rsidR="00B531CF" w:rsidRPr="00AD7A6C" w:rsidRDefault="00B531CF" w:rsidP="00B531CF">
            <w:pPr>
              <w:tabs>
                <w:tab w:val="left" w:pos="720"/>
              </w:tabs>
              <w:jc w:val="both"/>
              <w:rPr>
                <w:rFonts w:ascii="Footlight MT Light" w:hAnsi="Footlight MT Light"/>
                <w:b/>
                <w:bCs/>
                <w:sz w:val="14"/>
                <w:szCs w:val="14"/>
                <w:u w:val="single"/>
              </w:rPr>
            </w:pPr>
            <w:hyperlink r:id="rId39" w:history="1">
              <w:r w:rsidRPr="00AD7A6C">
                <w:rPr>
                  <w:rStyle w:val="Hyperlink"/>
                  <w:rFonts w:ascii="Footlight MT Light" w:hAnsi="Footlight MT Light"/>
                  <w:b/>
                  <w:bCs/>
                  <w:color w:val="auto"/>
                  <w:sz w:val="14"/>
                  <w:szCs w:val="14"/>
                </w:rPr>
                <w:t xml:space="preserve">Beneficial Ownership – Nigerian Upstream Petroleum Regulatory Commission (nuprc.gov.ng), </w:t>
              </w:r>
            </w:hyperlink>
          </w:p>
        </w:tc>
        <w:tc>
          <w:tcPr>
            <w:tcW w:w="1984" w:type="dxa"/>
            <w:hideMark/>
          </w:tcPr>
          <w:p w14:paraId="019C29B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5EF8E84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CAC Portal, NOGABOR(NUPRC)</w:t>
            </w:r>
          </w:p>
        </w:tc>
      </w:tr>
      <w:tr w:rsidR="00AD7A6C" w:rsidRPr="00AD7A6C" w14:paraId="3C9DE308" w14:textId="77777777" w:rsidTr="00ED4F42">
        <w:trPr>
          <w:trHeight w:val="639"/>
        </w:trPr>
        <w:tc>
          <w:tcPr>
            <w:tcW w:w="284" w:type="dxa"/>
            <w:noWrap/>
            <w:hideMark/>
          </w:tcPr>
          <w:p w14:paraId="4074F19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noWrap/>
            <w:hideMark/>
          </w:tcPr>
          <w:p w14:paraId="61648AF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993" w:type="dxa"/>
            <w:noWrap/>
            <w:hideMark/>
          </w:tcPr>
          <w:p w14:paraId="693300A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4AD4DA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6789D07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D0F77A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noWrap/>
            <w:hideMark/>
          </w:tcPr>
          <w:p w14:paraId="456DA59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268" w:type="dxa"/>
            <w:noWrap/>
            <w:hideMark/>
          </w:tcPr>
          <w:p w14:paraId="1A75A77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2EA6100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33C235F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1F4B787C" w14:textId="77777777" w:rsidTr="00ED4F42">
        <w:trPr>
          <w:trHeight w:val="480"/>
        </w:trPr>
        <w:tc>
          <w:tcPr>
            <w:tcW w:w="284" w:type="dxa"/>
            <w:noWrap/>
            <w:hideMark/>
          </w:tcPr>
          <w:p w14:paraId="101B859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11</w:t>
            </w:r>
          </w:p>
        </w:tc>
        <w:tc>
          <w:tcPr>
            <w:tcW w:w="1843" w:type="dxa"/>
            <w:vMerge w:val="restart"/>
            <w:noWrap/>
            <w:hideMark/>
          </w:tcPr>
          <w:p w14:paraId="0AE1E4D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State-Owned Enterprise</w:t>
            </w:r>
          </w:p>
        </w:tc>
        <w:tc>
          <w:tcPr>
            <w:tcW w:w="993" w:type="dxa"/>
            <w:noWrap/>
            <w:hideMark/>
          </w:tcPr>
          <w:p w14:paraId="1714581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2.6</w:t>
            </w:r>
          </w:p>
        </w:tc>
        <w:tc>
          <w:tcPr>
            <w:tcW w:w="283" w:type="dxa"/>
            <w:noWrap/>
            <w:hideMark/>
          </w:tcPr>
          <w:p w14:paraId="0284DB6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3DE1BED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1863B97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val="restart"/>
            <w:hideMark/>
          </w:tcPr>
          <w:p w14:paraId="44CFF0C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 2 pg 35,), (NEITI FASD 2021 Report Chapt 4 pg 40)</w:t>
            </w:r>
          </w:p>
        </w:tc>
        <w:tc>
          <w:tcPr>
            <w:tcW w:w="2268" w:type="dxa"/>
            <w:noWrap/>
            <w:hideMark/>
          </w:tcPr>
          <w:p w14:paraId="7854487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546C34E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5637372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002E9C29" w14:textId="77777777" w:rsidTr="00ED4F42">
        <w:trPr>
          <w:trHeight w:val="480"/>
        </w:trPr>
        <w:tc>
          <w:tcPr>
            <w:tcW w:w="284" w:type="dxa"/>
            <w:noWrap/>
            <w:hideMark/>
          </w:tcPr>
          <w:p w14:paraId="2D59F20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6EA7E816"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3A7F8E8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4.5</w:t>
            </w:r>
          </w:p>
        </w:tc>
        <w:tc>
          <w:tcPr>
            <w:tcW w:w="283" w:type="dxa"/>
            <w:noWrap/>
            <w:hideMark/>
          </w:tcPr>
          <w:p w14:paraId="4A8A9DB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2D2425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746CB0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11E8C9AE"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2A8DD9C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1EE8584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52902D8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1AA9661B" w14:textId="77777777" w:rsidTr="00ED4F42">
        <w:trPr>
          <w:trHeight w:val="480"/>
        </w:trPr>
        <w:tc>
          <w:tcPr>
            <w:tcW w:w="284" w:type="dxa"/>
            <w:noWrap/>
            <w:hideMark/>
          </w:tcPr>
          <w:p w14:paraId="172992C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30EFE95B"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7ED817D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6.2</w:t>
            </w:r>
          </w:p>
        </w:tc>
        <w:tc>
          <w:tcPr>
            <w:tcW w:w="283" w:type="dxa"/>
            <w:noWrap/>
            <w:hideMark/>
          </w:tcPr>
          <w:p w14:paraId="43175F9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72BBA8A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443003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396C1220"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02002ECB" w14:textId="77777777" w:rsidR="00B531CF" w:rsidRPr="00AD7A6C" w:rsidRDefault="00B531CF" w:rsidP="00B531CF">
            <w:pPr>
              <w:tabs>
                <w:tab w:val="left" w:pos="720"/>
              </w:tabs>
              <w:jc w:val="both"/>
              <w:rPr>
                <w:rFonts w:ascii="Footlight MT Light" w:hAnsi="Footlight MT Light"/>
                <w:b/>
                <w:bCs/>
                <w:sz w:val="14"/>
                <w:szCs w:val="14"/>
                <w:u w:val="single"/>
              </w:rPr>
            </w:pPr>
            <w:hyperlink r:id="rId40" w:history="1">
              <w:r w:rsidRPr="00AD7A6C">
                <w:rPr>
                  <w:rStyle w:val="Hyperlink"/>
                  <w:rFonts w:ascii="Footlight MT Light" w:hAnsi="Footlight MT Light"/>
                  <w:b/>
                  <w:bCs/>
                  <w:color w:val="auto"/>
                  <w:sz w:val="14"/>
                  <w:szCs w:val="14"/>
                </w:rPr>
                <w:t>NNPC LTD | Home (nnpcgroup.com)</w:t>
              </w:r>
            </w:hyperlink>
          </w:p>
        </w:tc>
        <w:tc>
          <w:tcPr>
            <w:tcW w:w="1984" w:type="dxa"/>
            <w:hideMark/>
          </w:tcPr>
          <w:p w14:paraId="5C0FDB1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6753F34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NNPCL</w:t>
            </w:r>
          </w:p>
        </w:tc>
      </w:tr>
      <w:tr w:rsidR="00AD7A6C" w:rsidRPr="00AD7A6C" w14:paraId="55F76B7A" w14:textId="77777777" w:rsidTr="00ED4F42">
        <w:trPr>
          <w:trHeight w:val="324"/>
        </w:trPr>
        <w:tc>
          <w:tcPr>
            <w:tcW w:w="284" w:type="dxa"/>
            <w:noWrap/>
            <w:hideMark/>
          </w:tcPr>
          <w:p w14:paraId="6FBED5D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071DEC74"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noWrap/>
            <w:hideMark/>
          </w:tcPr>
          <w:p w14:paraId="2204C7B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2C6EFD2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8F22E5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3DE968E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3E6AF5FC"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286B8CA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0FECC4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09EFF78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63E765B0" w14:textId="77777777" w:rsidTr="00ED4F42">
        <w:trPr>
          <w:trHeight w:val="1605"/>
        </w:trPr>
        <w:tc>
          <w:tcPr>
            <w:tcW w:w="284" w:type="dxa"/>
            <w:noWrap/>
            <w:hideMark/>
          </w:tcPr>
          <w:p w14:paraId="0FE3101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13</w:t>
            </w:r>
          </w:p>
        </w:tc>
        <w:tc>
          <w:tcPr>
            <w:tcW w:w="1843" w:type="dxa"/>
            <w:vMerge w:val="restart"/>
            <w:hideMark/>
          </w:tcPr>
          <w:p w14:paraId="14EC59D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Data Quality, Accessibility and Comprehensiveness</w:t>
            </w:r>
          </w:p>
        </w:tc>
        <w:tc>
          <w:tcPr>
            <w:tcW w:w="993" w:type="dxa"/>
            <w:hideMark/>
          </w:tcPr>
          <w:p w14:paraId="4A3F0B4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4.8</w:t>
            </w:r>
          </w:p>
        </w:tc>
        <w:tc>
          <w:tcPr>
            <w:tcW w:w="283" w:type="dxa"/>
            <w:noWrap/>
            <w:hideMark/>
          </w:tcPr>
          <w:p w14:paraId="6FA1A1C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6C72A9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41BA267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val="restart"/>
            <w:hideMark/>
          </w:tcPr>
          <w:p w14:paraId="1D6393BB" w14:textId="2AD50F22"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Oil and Gas Report 2021 Chapter 1, pg 18, chapter 8 pg 138),(NEITI SM Report 2021 Chapter 1 pag 7, chapter 7 pg 88), (NEITI FASD Repo</w:t>
            </w:r>
            <w:r w:rsidR="00ED4F42" w:rsidRPr="00AD7A6C">
              <w:rPr>
                <w:rFonts w:ascii="Footlight MT Light" w:hAnsi="Footlight MT Light"/>
                <w:b/>
                <w:bCs/>
                <w:sz w:val="14"/>
                <w:szCs w:val="14"/>
              </w:rPr>
              <w:t>r</w:t>
            </w:r>
            <w:r w:rsidRPr="00AD7A6C">
              <w:rPr>
                <w:rFonts w:ascii="Footlight MT Light" w:hAnsi="Footlight MT Light"/>
                <w:b/>
                <w:bCs/>
                <w:sz w:val="14"/>
                <w:szCs w:val="14"/>
              </w:rPr>
              <w:t>t 2021 Chapt 2 pg24, chapt 7 pg208)</w:t>
            </w:r>
          </w:p>
        </w:tc>
        <w:tc>
          <w:tcPr>
            <w:tcW w:w="2268" w:type="dxa"/>
            <w:noWrap/>
            <w:hideMark/>
          </w:tcPr>
          <w:p w14:paraId="10272C40" w14:textId="77777777" w:rsidR="00B531CF" w:rsidRPr="00AD7A6C" w:rsidRDefault="00B531CF" w:rsidP="00B531CF">
            <w:pPr>
              <w:tabs>
                <w:tab w:val="left" w:pos="720"/>
              </w:tabs>
              <w:jc w:val="both"/>
              <w:rPr>
                <w:rFonts w:ascii="Footlight MT Light" w:hAnsi="Footlight MT Light"/>
                <w:b/>
                <w:bCs/>
                <w:sz w:val="14"/>
                <w:szCs w:val="14"/>
                <w:u w:val="single"/>
              </w:rPr>
            </w:pPr>
            <w:hyperlink r:id="rId41" w:history="1">
              <w:r w:rsidRPr="00AD7A6C">
                <w:rPr>
                  <w:rStyle w:val="Hyperlink"/>
                  <w:rFonts w:ascii="Footlight MT Light" w:hAnsi="Footlight MT Light"/>
                  <w:b/>
                  <w:bCs/>
                  <w:color w:val="auto"/>
                  <w:sz w:val="14"/>
                  <w:szCs w:val="14"/>
                </w:rPr>
                <w:t>https://neiti.gov.ng/about/annual-workplan</w:t>
              </w:r>
            </w:hyperlink>
          </w:p>
        </w:tc>
        <w:tc>
          <w:tcPr>
            <w:tcW w:w="1984" w:type="dxa"/>
            <w:hideMark/>
          </w:tcPr>
          <w:p w14:paraId="49D9596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3246DF0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11A7264A" w14:textId="77777777" w:rsidTr="00ED4F42">
        <w:trPr>
          <w:trHeight w:val="480"/>
        </w:trPr>
        <w:tc>
          <w:tcPr>
            <w:tcW w:w="284" w:type="dxa"/>
            <w:noWrap/>
            <w:hideMark/>
          </w:tcPr>
          <w:p w14:paraId="3F34EFB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14</w:t>
            </w:r>
          </w:p>
        </w:tc>
        <w:tc>
          <w:tcPr>
            <w:tcW w:w="1843" w:type="dxa"/>
            <w:vMerge/>
            <w:hideMark/>
          </w:tcPr>
          <w:p w14:paraId="6CDD5D6D"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03561AE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4.9</w:t>
            </w:r>
          </w:p>
        </w:tc>
        <w:tc>
          <w:tcPr>
            <w:tcW w:w="283" w:type="dxa"/>
            <w:noWrap/>
            <w:hideMark/>
          </w:tcPr>
          <w:p w14:paraId="1952F6F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1ED8726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70A91CF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22C88014"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00E64507" w14:textId="77777777" w:rsidR="00B531CF" w:rsidRPr="00AD7A6C" w:rsidRDefault="00B531CF" w:rsidP="00B531CF">
            <w:pPr>
              <w:tabs>
                <w:tab w:val="left" w:pos="720"/>
              </w:tabs>
              <w:jc w:val="both"/>
              <w:rPr>
                <w:rFonts w:ascii="Footlight MT Light" w:hAnsi="Footlight MT Light"/>
                <w:b/>
                <w:bCs/>
                <w:sz w:val="14"/>
                <w:szCs w:val="14"/>
                <w:u w:val="single"/>
              </w:rPr>
            </w:pPr>
            <w:hyperlink r:id="rId42" w:history="1">
              <w:r w:rsidRPr="00AD7A6C">
                <w:rPr>
                  <w:rStyle w:val="Hyperlink"/>
                  <w:rFonts w:ascii="Footlight MT Light" w:hAnsi="Footlight MT Light"/>
                  <w:b/>
                  <w:bCs/>
                  <w:color w:val="auto"/>
                  <w:sz w:val="14"/>
                  <w:szCs w:val="14"/>
                </w:rPr>
                <w:t>https://neiti.gov.ng/about/stakeholders</w:t>
              </w:r>
            </w:hyperlink>
          </w:p>
        </w:tc>
        <w:tc>
          <w:tcPr>
            <w:tcW w:w="1984" w:type="dxa"/>
            <w:hideMark/>
          </w:tcPr>
          <w:p w14:paraId="1CF2D52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2AE79761"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2B4EDB1C" w14:textId="77777777" w:rsidTr="00ED4F42">
        <w:trPr>
          <w:trHeight w:val="924"/>
        </w:trPr>
        <w:tc>
          <w:tcPr>
            <w:tcW w:w="284" w:type="dxa"/>
            <w:noWrap/>
            <w:hideMark/>
          </w:tcPr>
          <w:p w14:paraId="5474AFF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15</w:t>
            </w:r>
          </w:p>
        </w:tc>
        <w:tc>
          <w:tcPr>
            <w:tcW w:w="1843" w:type="dxa"/>
            <w:vMerge/>
            <w:hideMark/>
          </w:tcPr>
          <w:p w14:paraId="1B90BA4B"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1A47999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4.10(a)</w:t>
            </w:r>
          </w:p>
        </w:tc>
        <w:tc>
          <w:tcPr>
            <w:tcW w:w="283" w:type="dxa"/>
            <w:noWrap/>
            <w:hideMark/>
          </w:tcPr>
          <w:p w14:paraId="47DB7D6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4A67EDC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019DF0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4B8F0E47"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4A238CB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50DB0B6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 PIA 2021, NUPRC REGULATIONS, NIGERIA MINING REGULATION 2011,</w:t>
            </w:r>
          </w:p>
        </w:tc>
        <w:tc>
          <w:tcPr>
            <w:tcW w:w="851" w:type="dxa"/>
            <w:hideMark/>
          </w:tcPr>
          <w:p w14:paraId="7E52032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00CF8030" w14:textId="77777777" w:rsidTr="00ED4F42">
        <w:trPr>
          <w:trHeight w:val="480"/>
        </w:trPr>
        <w:tc>
          <w:tcPr>
            <w:tcW w:w="284" w:type="dxa"/>
            <w:noWrap/>
            <w:hideMark/>
          </w:tcPr>
          <w:p w14:paraId="0B389E0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16128E97"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60F504D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4.10(b)</w:t>
            </w:r>
          </w:p>
        </w:tc>
        <w:tc>
          <w:tcPr>
            <w:tcW w:w="283" w:type="dxa"/>
            <w:noWrap/>
            <w:hideMark/>
          </w:tcPr>
          <w:p w14:paraId="32C822C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42EAB7E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3" w:type="dxa"/>
            <w:noWrap/>
            <w:hideMark/>
          </w:tcPr>
          <w:p w14:paraId="419E1F0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6A19A1B7"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745DD69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4EFDB13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7584C03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FIRS, </w:t>
            </w:r>
          </w:p>
        </w:tc>
      </w:tr>
      <w:tr w:rsidR="00AD7A6C" w:rsidRPr="00AD7A6C" w14:paraId="32544D0C" w14:textId="77777777" w:rsidTr="00ED4F42">
        <w:trPr>
          <w:trHeight w:val="480"/>
        </w:trPr>
        <w:tc>
          <w:tcPr>
            <w:tcW w:w="284" w:type="dxa"/>
            <w:noWrap/>
            <w:hideMark/>
          </w:tcPr>
          <w:p w14:paraId="3375628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39513AD2"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7C4A599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4.10(c )</w:t>
            </w:r>
          </w:p>
        </w:tc>
        <w:tc>
          <w:tcPr>
            <w:tcW w:w="283" w:type="dxa"/>
            <w:noWrap/>
            <w:hideMark/>
          </w:tcPr>
          <w:p w14:paraId="4B5C39D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2C24DA1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1CCF28B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52594965"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466196E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28E64B3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25E08B7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NUPRC</w:t>
            </w:r>
          </w:p>
        </w:tc>
      </w:tr>
      <w:tr w:rsidR="00AD7A6C" w:rsidRPr="00AD7A6C" w14:paraId="260F3AE6" w14:textId="77777777" w:rsidTr="00ED4F42">
        <w:trPr>
          <w:trHeight w:val="1680"/>
        </w:trPr>
        <w:tc>
          <w:tcPr>
            <w:tcW w:w="284" w:type="dxa"/>
            <w:noWrap/>
            <w:hideMark/>
          </w:tcPr>
          <w:p w14:paraId="671C8AE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lastRenderedPageBreak/>
              <w:t>16</w:t>
            </w:r>
          </w:p>
        </w:tc>
        <w:tc>
          <w:tcPr>
            <w:tcW w:w="1843" w:type="dxa"/>
            <w:vMerge/>
            <w:hideMark/>
          </w:tcPr>
          <w:p w14:paraId="4D093C3F"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76591A8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7.1</w:t>
            </w:r>
          </w:p>
        </w:tc>
        <w:tc>
          <w:tcPr>
            <w:tcW w:w="283" w:type="dxa"/>
            <w:noWrap/>
            <w:hideMark/>
          </w:tcPr>
          <w:p w14:paraId="535C48A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165BCF6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5B30D77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7BC60441"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hideMark/>
          </w:tcPr>
          <w:p w14:paraId="769E3BA1" w14:textId="77777777" w:rsidR="00B531CF" w:rsidRPr="00AD7A6C" w:rsidRDefault="00B531CF" w:rsidP="00B531CF">
            <w:pPr>
              <w:tabs>
                <w:tab w:val="left" w:pos="720"/>
              </w:tabs>
              <w:jc w:val="both"/>
              <w:rPr>
                <w:rFonts w:ascii="Footlight MT Light" w:hAnsi="Footlight MT Light"/>
                <w:b/>
                <w:bCs/>
                <w:sz w:val="14"/>
                <w:szCs w:val="14"/>
                <w:u w:val="single"/>
              </w:rPr>
            </w:pPr>
            <w:r w:rsidRPr="00AD7A6C">
              <w:rPr>
                <w:rFonts w:ascii="Footlight MT Light" w:hAnsi="Footlight MT Light"/>
                <w:b/>
                <w:bCs/>
                <w:sz w:val="14"/>
                <w:szCs w:val="14"/>
                <w:u w:val="single"/>
              </w:rPr>
              <w:t>(1)https://cms.neiti.gov.ng/wp-content/uploads/2021/10/FREEDOM-OF-INFORMATION-ACT-2011.pdf</w:t>
            </w:r>
            <w:r w:rsidRPr="00AD7A6C">
              <w:rPr>
                <w:rFonts w:ascii="Footlight MT Light" w:hAnsi="Footlight MT Light"/>
                <w:b/>
                <w:bCs/>
                <w:sz w:val="14"/>
                <w:szCs w:val="14"/>
              </w:rPr>
              <w:t xml:space="preserve"> (2)Civil society engagements: </w:t>
            </w:r>
            <w:r w:rsidRPr="00AD7A6C">
              <w:rPr>
                <w:rFonts w:ascii="Footlight MT Light" w:hAnsi="Footlight MT Light"/>
                <w:b/>
                <w:bCs/>
                <w:sz w:val="14"/>
                <w:szCs w:val="14"/>
                <w:u w:val="single"/>
              </w:rPr>
              <w:t>https://neiti.gov.ng/cms/wp-content/uploads/2022/12/NEITI-Civil-Society-Engagement-on-EITI-Validation-2.pdf</w:t>
            </w:r>
            <w:r w:rsidRPr="00AD7A6C">
              <w:rPr>
                <w:rFonts w:ascii="Footlight MT Light" w:hAnsi="Footlight MT Light"/>
                <w:b/>
                <w:bCs/>
                <w:sz w:val="14"/>
                <w:szCs w:val="14"/>
              </w:rPr>
              <w:t xml:space="preserve"> </w:t>
            </w:r>
          </w:p>
        </w:tc>
        <w:tc>
          <w:tcPr>
            <w:tcW w:w="1984" w:type="dxa"/>
            <w:hideMark/>
          </w:tcPr>
          <w:p w14:paraId="2F627FC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70CDE67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r w:rsidR="00AD7A6C" w:rsidRPr="00AD7A6C" w14:paraId="6835FC13" w14:textId="77777777" w:rsidTr="00ED4F42">
        <w:trPr>
          <w:trHeight w:val="480"/>
        </w:trPr>
        <w:tc>
          <w:tcPr>
            <w:tcW w:w="284" w:type="dxa"/>
            <w:noWrap/>
            <w:hideMark/>
          </w:tcPr>
          <w:p w14:paraId="3153511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645B8AEB"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26ED3AD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7.1(c )</w:t>
            </w:r>
          </w:p>
        </w:tc>
        <w:tc>
          <w:tcPr>
            <w:tcW w:w="283" w:type="dxa"/>
            <w:noWrap/>
            <w:hideMark/>
          </w:tcPr>
          <w:p w14:paraId="75F7A31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838D11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76BB606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0D6E874C"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6449187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633D883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851" w:type="dxa"/>
            <w:hideMark/>
          </w:tcPr>
          <w:p w14:paraId="4A9F9C24"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r>
      <w:tr w:rsidR="00AD7A6C" w:rsidRPr="00AD7A6C" w14:paraId="386EBE3B" w14:textId="77777777" w:rsidTr="00ED4F42">
        <w:trPr>
          <w:trHeight w:val="1824"/>
        </w:trPr>
        <w:tc>
          <w:tcPr>
            <w:tcW w:w="284" w:type="dxa"/>
            <w:noWrap/>
            <w:hideMark/>
          </w:tcPr>
          <w:p w14:paraId="7A144D6D"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17</w:t>
            </w:r>
          </w:p>
        </w:tc>
        <w:tc>
          <w:tcPr>
            <w:tcW w:w="1843" w:type="dxa"/>
            <w:vMerge/>
            <w:hideMark/>
          </w:tcPr>
          <w:p w14:paraId="77EB3758"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15B728C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7.2</w:t>
            </w:r>
          </w:p>
        </w:tc>
        <w:tc>
          <w:tcPr>
            <w:tcW w:w="283" w:type="dxa"/>
            <w:noWrap/>
            <w:hideMark/>
          </w:tcPr>
          <w:p w14:paraId="2EA40CDF"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68E91C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067BD6D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57EEA603"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hideMark/>
          </w:tcPr>
          <w:p w14:paraId="7963B719"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(1)https://neiti.gov.ng/cms/wp-content/uploads/2022/11/NEITI-Open-Data-Policy.pdf, (2)http://localhost/wp-content/uploads/2021/10/Appendix-18-2019-Oil-Gas-Nigeria-EITI-_Summary-Data-Template.xlsx, </w:t>
            </w:r>
          </w:p>
        </w:tc>
        <w:tc>
          <w:tcPr>
            <w:tcW w:w="1984" w:type="dxa"/>
            <w:hideMark/>
          </w:tcPr>
          <w:p w14:paraId="01743D83"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c>
          <w:tcPr>
            <w:tcW w:w="851" w:type="dxa"/>
            <w:hideMark/>
          </w:tcPr>
          <w:p w14:paraId="63686EC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NUPRC, MMSD</w:t>
            </w:r>
          </w:p>
        </w:tc>
      </w:tr>
      <w:tr w:rsidR="00AD7A6C" w:rsidRPr="00AD7A6C" w14:paraId="3142B82E" w14:textId="77777777" w:rsidTr="00ED4F42">
        <w:trPr>
          <w:trHeight w:val="2232"/>
        </w:trPr>
        <w:tc>
          <w:tcPr>
            <w:tcW w:w="284" w:type="dxa"/>
            <w:noWrap/>
            <w:hideMark/>
          </w:tcPr>
          <w:p w14:paraId="0B84BEFE"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843" w:type="dxa"/>
            <w:vMerge/>
            <w:hideMark/>
          </w:tcPr>
          <w:p w14:paraId="7E9FDCC7"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55E5BB9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7.2(b)</w:t>
            </w:r>
          </w:p>
        </w:tc>
        <w:tc>
          <w:tcPr>
            <w:tcW w:w="283" w:type="dxa"/>
            <w:noWrap/>
            <w:hideMark/>
          </w:tcPr>
          <w:p w14:paraId="6959C4DA"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4" w:type="dxa"/>
            <w:noWrap/>
            <w:hideMark/>
          </w:tcPr>
          <w:p w14:paraId="33E1BFD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7689F42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1985" w:type="dxa"/>
            <w:vMerge/>
            <w:hideMark/>
          </w:tcPr>
          <w:p w14:paraId="25691DFE"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hideMark/>
          </w:tcPr>
          <w:p w14:paraId="4CB0633A" w14:textId="77777777" w:rsidR="00B531CF" w:rsidRPr="00AD7A6C" w:rsidRDefault="00B531CF" w:rsidP="00B531CF">
            <w:pPr>
              <w:tabs>
                <w:tab w:val="left" w:pos="720"/>
              </w:tabs>
              <w:jc w:val="both"/>
              <w:rPr>
                <w:rFonts w:ascii="Footlight MT Light" w:hAnsi="Footlight MT Light"/>
                <w:b/>
                <w:bCs/>
                <w:sz w:val="14"/>
                <w:szCs w:val="14"/>
                <w:u w:val="single"/>
              </w:rPr>
            </w:pPr>
            <w:hyperlink r:id="rId43" w:history="1">
              <w:r w:rsidRPr="00AD7A6C">
                <w:rPr>
                  <w:rStyle w:val="Hyperlink"/>
                  <w:rFonts w:ascii="Footlight MT Light" w:hAnsi="Footlight MT Light"/>
                  <w:b/>
                  <w:bCs/>
                  <w:color w:val="auto"/>
                  <w:sz w:val="14"/>
                  <w:szCs w:val="14"/>
                </w:rPr>
                <w:t>(1)2021-Simplified-OIL-GAS-REPORT.pdf (neiti.gov.ng), (2)https://neiti.gov.ng/cms/wp-content/uploads/2024/04/2021-Simplified-Solid-Minerals-REPORT.pdf, (3)https://neiti.gov.ng/cms/wp-content/uploads/2023/11/Simplified-Fiscal-Allocation-and-Statutory-Disbursement-Report-2020-2021.pdf</w:t>
              </w:r>
            </w:hyperlink>
          </w:p>
        </w:tc>
        <w:tc>
          <w:tcPr>
            <w:tcW w:w="1984" w:type="dxa"/>
            <w:hideMark/>
          </w:tcPr>
          <w:p w14:paraId="25DB8CA0"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xml:space="preserve">NEITI ACT 2007, FAAC, </w:t>
            </w:r>
          </w:p>
        </w:tc>
        <w:tc>
          <w:tcPr>
            <w:tcW w:w="851" w:type="dxa"/>
            <w:hideMark/>
          </w:tcPr>
          <w:p w14:paraId="72AEA6D2"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NUPRC, MMSD</w:t>
            </w:r>
          </w:p>
        </w:tc>
      </w:tr>
      <w:tr w:rsidR="00AD7A6C" w:rsidRPr="00AD7A6C" w14:paraId="46544C0F" w14:textId="77777777" w:rsidTr="00ED4F42">
        <w:trPr>
          <w:trHeight w:val="480"/>
        </w:trPr>
        <w:tc>
          <w:tcPr>
            <w:tcW w:w="284" w:type="dxa"/>
            <w:noWrap/>
            <w:hideMark/>
          </w:tcPr>
          <w:p w14:paraId="67A09A2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18</w:t>
            </w:r>
          </w:p>
        </w:tc>
        <w:tc>
          <w:tcPr>
            <w:tcW w:w="1843" w:type="dxa"/>
            <w:vMerge/>
            <w:hideMark/>
          </w:tcPr>
          <w:p w14:paraId="17466AB1" w14:textId="77777777" w:rsidR="00B531CF" w:rsidRPr="00AD7A6C" w:rsidRDefault="00B531CF" w:rsidP="00B531CF">
            <w:pPr>
              <w:tabs>
                <w:tab w:val="left" w:pos="720"/>
              </w:tabs>
              <w:jc w:val="both"/>
              <w:rPr>
                <w:rFonts w:ascii="Footlight MT Light" w:hAnsi="Footlight MT Light"/>
                <w:b/>
                <w:bCs/>
                <w:sz w:val="14"/>
                <w:szCs w:val="14"/>
              </w:rPr>
            </w:pPr>
          </w:p>
        </w:tc>
        <w:tc>
          <w:tcPr>
            <w:tcW w:w="993" w:type="dxa"/>
            <w:hideMark/>
          </w:tcPr>
          <w:p w14:paraId="0377B556"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7.3</w:t>
            </w:r>
          </w:p>
        </w:tc>
        <w:tc>
          <w:tcPr>
            <w:tcW w:w="283" w:type="dxa"/>
            <w:noWrap/>
            <w:hideMark/>
          </w:tcPr>
          <w:p w14:paraId="22745E17"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x</w:t>
            </w:r>
          </w:p>
        </w:tc>
        <w:tc>
          <w:tcPr>
            <w:tcW w:w="284" w:type="dxa"/>
            <w:noWrap/>
            <w:hideMark/>
          </w:tcPr>
          <w:p w14:paraId="654A5485"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283" w:type="dxa"/>
            <w:noWrap/>
            <w:hideMark/>
          </w:tcPr>
          <w:p w14:paraId="6F996D0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5" w:type="dxa"/>
            <w:vMerge/>
            <w:hideMark/>
          </w:tcPr>
          <w:p w14:paraId="6BF9536D" w14:textId="77777777" w:rsidR="00B531CF" w:rsidRPr="00AD7A6C" w:rsidRDefault="00B531CF" w:rsidP="00B531CF">
            <w:pPr>
              <w:tabs>
                <w:tab w:val="left" w:pos="720"/>
              </w:tabs>
              <w:jc w:val="both"/>
              <w:rPr>
                <w:rFonts w:ascii="Footlight MT Light" w:hAnsi="Footlight MT Light"/>
                <w:b/>
                <w:bCs/>
                <w:sz w:val="14"/>
                <w:szCs w:val="14"/>
              </w:rPr>
            </w:pPr>
          </w:p>
        </w:tc>
        <w:tc>
          <w:tcPr>
            <w:tcW w:w="2268" w:type="dxa"/>
            <w:noWrap/>
            <w:hideMark/>
          </w:tcPr>
          <w:p w14:paraId="5702765B"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 </w:t>
            </w:r>
          </w:p>
        </w:tc>
        <w:tc>
          <w:tcPr>
            <w:tcW w:w="1984" w:type="dxa"/>
            <w:hideMark/>
          </w:tcPr>
          <w:p w14:paraId="14836158"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 ACT 2007</w:t>
            </w:r>
          </w:p>
        </w:tc>
        <w:tc>
          <w:tcPr>
            <w:tcW w:w="851" w:type="dxa"/>
            <w:hideMark/>
          </w:tcPr>
          <w:p w14:paraId="0F3A301C" w14:textId="77777777" w:rsidR="00B531CF" w:rsidRPr="00AD7A6C" w:rsidRDefault="00B531CF" w:rsidP="00B531CF">
            <w:pPr>
              <w:tabs>
                <w:tab w:val="left" w:pos="720"/>
              </w:tabs>
              <w:jc w:val="both"/>
              <w:rPr>
                <w:rFonts w:ascii="Footlight MT Light" w:hAnsi="Footlight MT Light"/>
                <w:b/>
                <w:bCs/>
                <w:sz w:val="14"/>
                <w:szCs w:val="14"/>
              </w:rPr>
            </w:pPr>
            <w:r w:rsidRPr="00AD7A6C">
              <w:rPr>
                <w:rFonts w:ascii="Footlight MT Light" w:hAnsi="Footlight MT Light"/>
                <w:b/>
                <w:bCs/>
                <w:sz w:val="14"/>
                <w:szCs w:val="14"/>
              </w:rPr>
              <w:t>NEITI</w:t>
            </w:r>
          </w:p>
        </w:tc>
      </w:tr>
    </w:tbl>
    <w:p w14:paraId="0CAE4719" w14:textId="77777777" w:rsidR="00B531CF" w:rsidRPr="00AD7A6C" w:rsidRDefault="00B531CF" w:rsidP="00B531CF">
      <w:pPr>
        <w:tabs>
          <w:tab w:val="left" w:pos="720"/>
        </w:tabs>
        <w:jc w:val="both"/>
        <w:rPr>
          <w:rFonts w:ascii="Footlight MT Light" w:hAnsi="Footlight MT Light"/>
          <w:b/>
          <w:bCs/>
          <w:sz w:val="24"/>
          <w:szCs w:val="24"/>
        </w:rPr>
      </w:pPr>
    </w:p>
    <w:p w14:paraId="01D79FE2" w14:textId="49971584" w:rsidR="00B531CF" w:rsidRPr="00AD7A6C" w:rsidRDefault="00B531CF" w:rsidP="006E69D2">
      <w:pPr>
        <w:pStyle w:val="ListParagraph"/>
        <w:tabs>
          <w:tab w:val="left" w:pos="720"/>
        </w:tabs>
        <w:jc w:val="both"/>
        <w:rPr>
          <w:rFonts w:eastAsiaTheme="minorHAnsi"/>
          <w:lang w:eastAsia="en-US"/>
        </w:rPr>
      </w:pPr>
    </w:p>
    <w:p w14:paraId="780C36D8" w14:textId="3707ED4B" w:rsidR="00B531CF" w:rsidRPr="00AD7A6C" w:rsidRDefault="00B531CF" w:rsidP="00B531CF"/>
    <w:p w14:paraId="44EAB12A"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37F3A093"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4E8DC4D6"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365F7F90"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050B1DD4"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60039E69"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2693DD2A"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1D29A4C3"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319D3B0C"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29A59BDB"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5CBBF609"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2D2540FF"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3F2FDC2C"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68198F4F"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6A4DA640"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6CE1573F"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097927DE"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46490DC6"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1B2C3348"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77B85CEE"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719D2D74"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4984AE63"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1132B1DD"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4440A829" w14:textId="77777777" w:rsidR="00B531CF" w:rsidRPr="00AD7A6C" w:rsidRDefault="00B531CF" w:rsidP="006E69D2">
      <w:pPr>
        <w:pStyle w:val="ListParagraph"/>
        <w:tabs>
          <w:tab w:val="left" w:pos="720"/>
        </w:tabs>
        <w:jc w:val="both"/>
        <w:rPr>
          <w:rFonts w:ascii="Footlight MT Light" w:hAnsi="Footlight MT Light"/>
          <w:b/>
          <w:bCs/>
          <w:sz w:val="24"/>
          <w:szCs w:val="24"/>
        </w:rPr>
      </w:pPr>
    </w:p>
    <w:p w14:paraId="29298524" w14:textId="34E1F17D" w:rsidR="008559BC" w:rsidRPr="00AD7A6C" w:rsidRDefault="008559BC" w:rsidP="006E69D2">
      <w:pPr>
        <w:pStyle w:val="ListParagraph"/>
        <w:numPr>
          <w:ilvl w:val="0"/>
          <w:numId w:val="7"/>
        </w:numPr>
        <w:tabs>
          <w:tab w:val="left" w:pos="720"/>
        </w:tabs>
        <w:jc w:val="both"/>
        <w:rPr>
          <w:rFonts w:ascii="Footlight MT Light" w:hAnsi="Footlight MT Light"/>
          <w:b/>
          <w:bCs/>
          <w:sz w:val="24"/>
          <w:szCs w:val="24"/>
        </w:rPr>
      </w:pPr>
      <w:r w:rsidRPr="00AD7A6C">
        <w:rPr>
          <w:rFonts w:ascii="Footlight MT Light" w:hAnsi="Footlight MT Light"/>
          <w:b/>
          <w:bCs/>
          <w:sz w:val="24"/>
          <w:szCs w:val="24"/>
        </w:rPr>
        <w:t>Barriers and Enablers of EITI Implementation</w:t>
      </w:r>
    </w:p>
    <w:p w14:paraId="1911C17A" w14:textId="77777777" w:rsidR="00223724" w:rsidRPr="00AD7A6C" w:rsidRDefault="00223724" w:rsidP="006E69D2">
      <w:pPr>
        <w:pStyle w:val="ListParagraph"/>
        <w:tabs>
          <w:tab w:val="left" w:pos="720"/>
        </w:tabs>
        <w:jc w:val="both"/>
        <w:rPr>
          <w:rFonts w:ascii="Footlight MT Light" w:hAnsi="Footlight MT Light"/>
          <w:b/>
          <w:bCs/>
          <w:sz w:val="24"/>
          <w:szCs w:val="24"/>
        </w:rPr>
      </w:pPr>
    </w:p>
    <w:p w14:paraId="41F90772" w14:textId="5901AEDB" w:rsidR="00223724" w:rsidRPr="00AD7A6C" w:rsidRDefault="00223724" w:rsidP="006E69D2">
      <w:pPr>
        <w:pStyle w:val="ListParagraph"/>
        <w:jc w:val="both"/>
        <w:rPr>
          <w:rFonts w:ascii="Footlight MT Light" w:hAnsi="Footlight MT Light"/>
          <w:sz w:val="24"/>
          <w:szCs w:val="24"/>
        </w:rPr>
      </w:pPr>
      <w:r w:rsidRPr="00AD7A6C">
        <w:rPr>
          <w:rFonts w:ascii="Footlight MT Light" w:hAnsi="Footlight MT Light"/>
          <w:b/>
          <w:bCs/>
          <w:sz w:val="24"/>
          <w:szCs w:val="24"/>
        </w:rPr>
        <w:t xml:space="preserve">Barriers  </w:t>
      </w:r>
    </w:p>
    <w:p w14:paraId="2F6EDF0D" w14:textId="0D75288B" w:rsidR="00252C10" w:rsidRPr="00AD7A6C" w:rsidRDefault="00092F5C" w:rsidP="00252C10">
      <w:pPr>
        <w:pStyle w:val="ListParagraph"/>
        <w:numPr>
          <w:ilvl w:val="0"/>
          <w:numId w:val="32"/>
        </w:numPr>
        <w:jc w:val="both"/>
        <w:rPr>
          <w:rFonts w:ascii="Footlight MT Light" w:hAnsi="Footlight MT Light"/>
          <w:sz w:val="24"/>
          <w:szCs w:val="24"/>
        </w:rPr>
      </w:pPr>
      <w:r w:rsidRPr="00AD7A6C">
        <w:rPr>
          <w:rFonts w:ascii="Footlight MT Light" w:hAnsi="Footlight MT Light"/>
          <w:sz w:val="24"/>
          <w:szCs w:val="24"/>
        </w:rPr>
        <w:t>Sub-optimal</w:t>
      </w:r>
      <w:r w:rsidR="00252C10" w:rsidRPr="00AD7A6C">
        <w:rPr>
          <w:rFonts w:ascii="Footlight MT Light" w:hAnsi="Footlight MT Light"/>
          <w:sz w:val="24"/>
          <w:szCs w:val="24"/>
        </w:rPr>
        <w:t xml:space="preserve"> Civil Society Engagement: EITI implementation requires active </w:t>
      </w:r>
      <w:r w:rsidR="007F3D26" w:rsidRPr="00AD7A6C">
        <w:rPr>
          <w:rFonts w:ascii="Footlight MT Light" w:hAnsi="Footlight MT Light"/>
          <w:sz w:val="24"/>
          <w:szCs w:val="24"/>
        </w:rPr>
        <w:t xml:space="preserve">and efficient </w:t>
      </w:r>
      <w:r w:rsidR="00252C10" w:rsidRPr="00AD7A6C">
        <w:rPr>
          <w:rFonts w:ascii="Footlight MT Light" w:hAnsi="Footlight MT Light"/>
          <w:sz w:val="24"/>
          <w:szCs w:val="24"/>
        </w:rPr>
        <w:t>engagement and participation from civil society organizations (CSOs) to ensure accountability and promote transparency</w:t>
      </w:r>
      <w:r w:rsidR="00BB674E" w:rsidRPr="00AD7A6C">
        <w:rPr>
          <w:rFonts w:ascii="Footlight MT Light" w:hAnsi="Footlight MT Light"/>
          <w:sz w:val="24"/>
          <w:szCs w:val="24"/>
        </w:rPr>
        <w:t xml:space="preserve"> in the extractive sector</w:t>
      </w:r>
      <w:r w:rsidR="00252C10" w:rsidRPr="00AD7A6C">
        <w:rPr>
          <w:rFonts w:ascii="Footlight MT Light" w:hAnsi="Footlight MT Light"/>
          <w:sz w:val="24"/>
          <w:szCs w:val="24"/>
        </w:rPr>
        <w:t xml:space="preserve">. </w:t>
      </w:r>
      <w:r w:rsidRPr="00AD7A6C">
        <w:rPr>
          <w:rFonts w:ascii="Footlight MT Light" w:hAnsi="Footlight MT Light"/>
          <w:sz w:val="24"/>
          <w:szCs w:val="24"/>
        </w:rPr>
        <w:t>I</w:t>
      </w:r>
      <w:r w:rsidR="00252C10" w:rsidRPr="00AD7A6C">
        <w:rPr>
          <w:rFonts w:ascii="Footlight MT Light" w:hAnsi="Footlight MT Light"/>
          <w:sz w:val="24"/>
          <w:szCs w:val="24"/>
        </w:rPr>
        <w:t xml:space="preserve">n </w:t>
      </w:r>
      <w:r w:rsidRPr="00AD7A6C">
        <w:rPr>
          <w:rFonts w:ascii="Footlight MT Light" w:hAnsi="Footlight MT Light"/>
          <w:sz w:val="24"/>
          <w:szCs w:val="24"/>
        </w:rPr>
        <w:t>Nigeria</w:t>
      </w:r>
      <w:r w:rsidR="00252C10" w:rsidRPr="00AD7A6C">
        <w:rPr>
          <w:rFonts w:ascii="Footlight MT Light" w:hAnsi="Footlight MT Light"/>
          <w:sz w:val="24"/>
          <w:szCs w:val="24"/>
        </w:rPr>
        <w:t xml:space="preserve">, CSOs face </w:t>
      </w:r>
      <w:r w:rsidR="007F3D26" w:rsidRPr="00AD7A6C">
        <w:rPr>
          <w:rFonts w:ascii="Footlight MT Light" w:hAnsi="Footlight MT Light"/>
          <w:sz w:val="24"/>
          <w:szCs w:val="24"/>
        </w:rPr>
        <w:t xml:space="preserve">challenges like </w:t>
      </w:r>
      <w:r w:rsidR="00BB674E" w:rsidRPr="00AD7A6C">
        <w:rPr>
          <w:rFonts w:ascii="Footlight MT Light" w:hAnsi="Footlight MT Light"/>
          <w:sz w:val="24"/>
          <w:szCs w:val="24"/>
        </w:rPr>
        <w:t>inadequate</w:t>
      </w:r>
      <w:r w:rsidR="00252C10" w:rsidRPr="00AD7A6C">
        <w:rPr>
          <w:rFonts w:ascii="Footlight MT Light" w:hAnsi="Footlight MT Light"/>
          <w:sz w:val="24"/>
          <w:szCs w:val="24"/>
        </w:rPr>
        <w:t xml:space="preserve"> funding</w:t>
      </w:r>
      <w:r w:rsidR="00BB674E" w:rsidRPr="00AD7A6C">
        <w:rPr>
          <w:rFonts w:ascii="Footlight MT Light" w:hAnsi="Footlight MT Light"/>
          <w:sz w:val="24"/>
          <w:szCs w:val="24"/>
        </w:rPr>
        <w:t xml:space="preserve"> and </w:t>
      </w:r>
      <w:r w:rsidR="00252C10" w:rsidRPr="00AD7A6C">
        <w:rPr>
          <w:rFonts w:ascii="Footlight MT Light" w:hAnsi="Footlight MT Light"/>
          <w:sz w:val="24"/>
          <w:szCs w:val="24"/>
        </w:rPr>
        <w:t xml:space="preserve">limited capacity to effectively engage in EITI processes, thereby reducing their ability to act as watchdogs and hold </w:t>
      </w:r>
      <w:r w:rsidR="002E277B" w:rsidRPr="00AD7A6C">
        <w:rPr>
          <w:rFonts w:ascii="Footlight MT Light" w:hAnsi="Footlight MT Light"/>
          <w:sz w:val="24"/>
          <w:szCs w:val="24"/>
        </w:rPr>
        <w:t xml:space="preserve">the </w:t>
      </w:r>
      <w:r w:rsidR="00252C10" w:rsidRPr="00AD7A6C">
        <w:rPr>
          <w:rFonts w:ascii="Footlight MT Light" w:hAnsi="Footlight MT Light"/>
          <w:sz w:val="24"/>
          <w:szCs w:val="24"/>
        </w:rPr>
        <w:t xml:space="preserve">government and </w:t>
      </w:r>
      <w:r w:rsidR="002E277B" w:rsidRPr="00AD7A6C">
        <w:rPr>
          <w:rFonts w:ascii="Footlight MT Light" w:hAnsi="Footlight MT Light"/>
          <w:sz w:val="24"/>
          <w:szCs w:val="24"/>
        </w:rPr>
        <w:t xml:space="preserve">extractive </w:t>
      </w:r>
      <w:r w:rsidR="00252C10" w:rsidRPr="00AD7A6C">
        <w:rPr>
          <w:rFonts w:ascii="Footlight MT Light" w:hAnsi="Footlight MT Light"/>
          <w:sz w:val="24"/>
          <w:szCs w:val="24"/>
        </w:rPr>
        <w:t>companies accountable.</w:t>
      </w:r>
    </w:p>
    <w:p w14:paraId="47785AF5" w14:textId="0D79239B" w:rsidR="00252C10" w:rsidRPr="00AD7A6C" w:rsidRDefault="00252C10" w:rsidP="00252C10">
      <w:pPr>
        <w:pStyle w:val="ListParagraph"/>
        <w:numPr>
          <w:ilvl w:val="0"/>
          <w:numId w:val="32"/>
        </w:numPr>
        <w:jc w:val="both"/>
        <w:rPr>
          <w:rFonts w:ascii="Footlight MT Light" w:hAnsi="Footlight MT Light"/>
          <w:sz w:val="24"/>
          <w:szCs w:val="24"/>
        </w:rPr>
      </w:pPr>
      <w:r w:rsidRPr="00AD7A6C">
        <w:rPr>
          <w:rFonts w:ascii="Footlight MT Light" w:hAnsi="Footlight MT Light"/>
          <w:sz w:val="24"/>
          <w:szCs w:val="24"/>
        </w:rPr>
        <w:t xml:space="preserve">Weak Governance Structures: </w:t>
      </w:r>
      <w:r w:rsidR="002E277B" w:rsidRPr="00AD7A6C">
        <w:rPr>
          <w:rFonts w:ascii="Footlight MT Light" w:hAnsi="Footlight MT Light"/>
          <w:sz w:val="24"/>
          <w:szCs w:val="24"/>
        </w:rPr>
        <w:t>Like most d</w:t>
      </w:r>
      <w:r w:rsidRPr="00AD7A6C">
        <w:rPr>
          <w:rFonts w:ascii="Footlight MT Light" w:hAnsi="Footlight MT Light"/>
          <w:sz w:val="24"/>
          <w:szCs w:val="24"/>
        </w:rPr>
        <w:t>eveloping countries</w:t>
      </w:r>
      <w:r w:rsidR="002E277B" w:rsidRPr="00AD7A6C">
        <w:rPr>
          <w:rFonts w:ascii="Footlight MT Light" w:hAnsi="Footlight MT Light"/>
          <w:sz w:val="24"/>
          <w:szCs w:val="24"/>
        </w:rPr>
        <w:t>, Nigeria</w:t>
      </w:r>
      <w:r w:rsidRPr="00AD7A6C">
        <w:rPr>
          <w:rFonts w:ascii="Footlight MT Light" w:hAnsi="Footlight MT Light"/>
          <w:sz w:val="24"/>
          <w:szCs w:val="24"/>
        </w:rPr>
        <w:t xml:space="preserve"> face</w:t>
      </w:r>
      <w:r w:rsidR="002E277B" w:rsidRPr="00AD7A6C">
        <w:rPr>
          <w:rFonts w:ascii="Footlight MT Light" w:hAnsi="Footlight MT Light"/>
          <w:sz w:val="24"/>
          <w:szCs w:val="24"/>
        </w:rPr>
        <w:t>s</w:t>
      </w:r>
      <w:r w:rsidRPr="00AD7A6C">
        <w:rPr>
          <w:rFonts w:ascii="Footlight MT Light" w:hAnsi="Footlight MT Light"/>
          <w:sz w:val="24"/>
          <w:szCs w:val="24"/>
        </w:rPr>
        <w:t xml:space="preserve"> challenges related to weak governance structures</w:t>
      </w:r>
      <w:r w:rsidR="007D7C68" w:rsidRPr="00AD7A6C">
        <w:rPr>
          <w:rFonts w:ascii="Footlight MT Light" w:hAnsi="Footlight MT Light"/>
          <w:sz w:val="24"/>
          <w:szCs w:val="24"/>
        </w:rPr>
        <w:t xml:space="preserve"> (e.g., poor</w:t>
      </w:r>
      <w:r w:rsidR="007D7C68" w:rsidRPr="00AD7A6C">
        <w:t xml:space="preserve"> </w:t>
      </w:r>
      <w:r w:rsidR="007D7C68" w:rsidRPr="00AD7A6C">
        <w:rPr>
          <w:rFonts w:ascii="Footlight MT Light" w:hAnsi="Footlight MT Light"/>
          <w:sz w:val="24"/>
          <w:szCs w:val="24"/>
        </w:rPr>
        <w:t>regulatory frameworks, weak revenue management structures and transparency practices, corruption, and limited capacity to manage extractive industries etc.) according to several reports</w:t>
      </w:r>
      <w:r w:rsidR="00F152F7" w:rsidRPr="00AD7A6C">
        <w:rPr>
          <w:rFonts w:ascii="Footlight MT Light" w:hAnsi="Footlight MT Light"/>
          <w:sz w:val="24"/>
          <w:szCs w:val="24"/>
        </w:rPr>
        <w:t xml:space="preserve"> (</w:t>
      </w:r>
      <w:hyperlink r:id="rId44" w:history="1">
        <w:r w:rsidR="007D7C68" w:rsidRPr="00AD7A6C">
          <w:rPr>
            <w:rStyle w:val="Hyperlink"/>
            <w:rFonts w:ascii="Footlight MT Light" w:hAnsi="Footlight MT Light"/>
            <w:color w:val="auto"/>
            <w:sz w:val="24"/>
            <w:szCs w:val="24"/>
          </w:rPr>
          <w:t>1</w:t>
        </w:r>
      </w:hyperlink>
      <w:r w:rsidR="007D7C68" w:rsidRPr="00AD7A6C">
        <w:rPr>
          <w:rFonts w:ascii="Footlight MT Light" w:hAnsi="Footlight MT Light"/>
          <w:sz w:val="24"/>
          <w:szCs w:val="24"/>
        </w:rPr>
        <w:t>,</w:t>
      </w:r>
      <w:hyperlink r:id="rId45" w:history="1">
        <w:r w:rsidR="007D7C68" w:rsidRPr="00AD7A6C">
          <w:rPr>
            <w:rStyle w:val="Hyperlink"/>
            <w:rFonts w:ascii="Footlight MT Light" w:hAnsi="Footlight MT Light"/>
            <w:color w:val="auto"/>
            <w:sz w:val="24"/>
            <w:szCs w:val="24"/>
          </w:rPr>
          <w:t>2,</w:t>
        </w:r>
      </w:hyperlink>
      <w:hyperlink r:id="rId46" w:history="1">
        <w:r w:rsidR="007D7C68" w:rsidRPr="00AD7A6C">
          <w:rPr>
            <w:rStyle w:val="Hyperlink"/>
            <w:rFonts w:ascii="Footlight MT Light" w:hAnsi="Footlight MT Light"/>
            <w:color w:val="auto"/>
            <w:sz w:val="24"/>
            <w:szCs w:val="24"/>
          </w:rPr>
          <w:t>3</w:t>
        </w:r>
      </w:hyperlink>
      <w:r w:rsidR="007D7C68" w:rsidRPr="00AD7A6C">
        <w:rPr>
          <w:rFonts w:ascii="Footlight MT Light" w:hAnsi="Footlight MT Light"/>
          <w:sz w:val="24"/>
          <w:szCs w:val="24"/>
        </w:rPr>
        <w:t xml:space="preserve"> and</w:t>
      </w:r>
      <w:r w:rsidR="0075734B" w:rsidRPr="00AD7A6C">
        <w:rPr>
          <w:rFonts w:ascii="Footlight MT Light" w:hAnsi="Footlight MT Light"/>
          <w:sz w:val="24"/>
          <w:szCs w:val="24"/>
        </w:rPr>
        <w:t xml:space="preserve"> </w:t>
      </w:r>
      <w:hyperlink r:id="rId47" w:history="1">
        <w:r w:rsidR="007D7C68" w:rsidRPr="00AD7A6C">
          <w:rPr>
            <w:rStyle w:val="Hyperlink"/>
            <w:rFonts w:ascii="Footlight MT Light" w:hAnsi="Footlight MT Light"/>
            <w:color w:val="auto"/>
            <w:sz w:val="24"/>
            <w:szCs w:val="24"/>
          </w:rPr>
          <w:t>4</w:t>
        </w:r>
      </w:hyperlink>
      <w:r w:rsidR="00F152F7" w:rsidRPr="00AD7A6C">
        <w:rPr>
          <w:rFonts w:ascii="Footlight MT Light" w:hAnsi="Footlight MT Light"/>
          <w:sz w:val="24"/>
          <w:szCs w:val="24"/>
        </w:rPr>
        <w:t>)</w:t>
      </w:r>
      <w:r w:rsidRPr="00AD7A6C">
        <w:rPr>
          <w:rFonts w:ascii="Footlight MT Light" w:hAnsi="Footlight MT Light"/>
          <w:sz w:val="24"/>
          <w:szCs w:val="24"/>
        </w:rPr>
        <w:t>. Th</w:t>
      </w:r>
      <w:r w:rsidR="00F152F7" w:rsidRPr="00AD7A6C">
        <w:rPr>
          <w:rFonts w:ascii="Footlight MT Light" w:hAnsi="Footlight MT Light"/>
          <w:sz w:val="24"/>
          <w:szCs w:val="24"/>
        </w:rPr>
        <w:t>is hinder</w:t>
      </w:r>
      <w:r w:rsidRPr="00AD7A6C">
        <w:rPr>
          <w:rFonts w:ascii="Footlight MT Light" w:hAnsi="Footlight MT Light"/>
          <w:sz w:val="24"/>
          <w:szCs w:val="24"/>
        </w:rPr>
        <w:t xml:space="preserve"> </w:t>
      </w:r>
      <w:r w:rsidR="00F152F7" w:rsidRPr="00AD7A6C">
        <w:rPr>
          <w:rFonts w:ascii="Footlight MT Light" w:hAnsi="Footlight MT Light"/>
          <w:sz w:val="24"/>
          <w:szCs w:val="24"/>
        </w:rPr>
        <w:t>ef</w:t>
      </w:r>
      <w:r w:rsidRPr="00AD7A6C">
        <w:rPr>
          <w:rFonts w:ascii="Footlight MT Light" w:hAnsi="Footlight MT Light"/>
          <w:sz w:val="24"/>
          <w:szCs w:val="24"/>
        </w:rPr>
        <w:t>fective implementation of EITI principles and processes.</w:t>
      </w:r>
    </w:p>
    <w:p w14:paraId="6DBC00DA" w14:textId="033DBDC4" w:rsidR="00092F5C" w:rsidRPr="00AD7A6C" w:rsidRDefault="00092F5C" w:rsidP="00092F5C">
      <w:pPr>
        <w:pStyle w:val="ListParagraph"/>
        <w:numPr>
          <w:ilvl w:val="0"/>
          <w:numId w:val="32"/>
        </w:numPr>
        <w:jc w:val="both"/>
        <w:rPr>
          <w:rFonts w:ascii="Footlight MT Light" w:hAnsi="Footlight MT Light"/>
          <w:sz w:val="24"/>
          <w:szCs w:val="24"/>
        </w:rPr>
      </w:pPr>
      <w:r w:rsidRPr="00AD7A6C">
        <w:rPr>
          <w:rFonts w:ascii="Footlight MT Light" w:hAnsi="Footlight MT Light"/>
          <w:sz w:val="24"/>
          <w:szCs w:val="24"/>
        </w:rPr>
        <w:t xml:space="preserve">Complex Stakeholder Dynamics: </w:t>
      </w:r>
      <w:r w:rsidR="0075734B" w:rsidRPr="00AD7A6C">
        <w:rPr>
          <w:rFonts w:ascii="Footlight MT Light" w:hAnsi="Footlight MT Light"/>
          <w:sz w:val="24"/>
          <w:szCs w:val="24"/>
        </w:rPr>
        <w:t>EITI implementation requires the collaboration of various stakeholders, encompassing government bodies, extractive firms, civil society groups, and local communities. Effectively coordinating these diverse interests, navigating power dynamics, and addressing conflicting agendas pose significant challenges, especially in Nigeria. As a federal system comprising three independent tiers of government – federal, state, and local – the country grapples with a complex history of ethnic, religious, social, and political tensions.</w:t>
      </w:r>
    </w:p>
    <w:p w14:paraId="650140CC" w14:textId="5FC71244" w:rsidR="00223724" w:rsidRPr="00AD7A6C" w:rsidRDefault="00252C10" w:rsidP="00252C10">
      <w:pPr>
        <w:pStyle w:val="ListParagraph"/>
        <w:numPr>
          <w:ilvl w:val="0"/>
          <w:numId w:val="32"/>
        </w:numPr>
        <w:jc w:val="both"/>
        <w:rPr>
          <w:rFonts w:ascii="Footlight MT Light" w:hAnsi="Footlight MT Light"/>
          <w:sz w:val="24"/>
          <w:szCs w:val="24"/>
        </w:rPr>
      </w:pPr>
      <w:r w:rsidRPr="00AD7A6C">
        <w:rPr>
          <w:rFonts w:ascii="Footlight MT Light" w:hAnsi="Footlight MT Light"/>
          <w:sz w:val="24"/>
          <w:szCs w:val="24"/>
        </w:rPr>
        <w:t xml:space="preserve">Complex and Fragmented Legal and Regulatory Frameworks: Extractive industries are governed by a complex web of laws, regulations, and contracts in </w:t>
      </w:r>
      <w:r w:rsidR="006E7F15" w:rsidRPr="00AD7A6C">
        <w:rPr>
          <w:rFonts w:ascii="Footlight MT Light" w:hAnsi="Footlight MT Light"/>
          <w:sz w:val="24"/>
          <w:szCs w:val="24"/>
        </w:rPr>
        <w:t>Nigeria at the national and subnational levels</w:t>
      </w:r>
      <w:r w:rsidRPr="00AD7A6C">
        <w:rPr>
          <w:rFonts w:ascii="Footlight MT Light" w:hAnsi="Footlight MT Light"/>
          <w:sz w:val="24"/>
          <w:szCs w:val="24"/>
        </w:rPr>
        <w:t>.</w:t>
      </w:r>
      <w:r w:rsidR="006E7F15" w:rsidRPr="00AD7A6C">
        <w:rPr>
          <w:rFonts w:ascii="Footlight MT Light" w:hAnsi="Footlight MT Light"/>
          <w:sz w:val="24"/>
          <w:szCs w:val="24"/>
        </w:rPr>
        <w:t xml:space="preserve"> For instance, the conflict from an operational angle arising from the powers of the federal government per section </w:t>
      </w:r>
      <w:r w:rsidR="006E7F15" w:rsidRPr="0059579F">
        <w:rPr>
          <w:rFonts w:ascii="Footlight MT Light" w:hAnsi="Footlight MT Light"/>
          <w:color w:val="FF0000"/>
          <w:sz w:val="24"/>
          <w:szCs w:val="24"/>
        </w:rPr>
        <w:t xml:space="preserve">…. </w:t>
      </w:r>
      <w:r w:rsidR="0059579F">
        <w:rPr>
          <w:rFonts w:ascii="Footlight MT Light" w:hAnsi="Footlight MT Light"/>
          <w:color w:val="FF0000"/>
          <w:sz w:val="24"/>
          <w:szCs w:val="24"/>
        </w:rPr>
        <w:t>o</w:t>
      </w:r>
      <w:r w:rsidR="006E7F15" w:rsidRPr="0059579F">
        <w:rPr>
          <w:rFonts w:ascii="Footlight MT Light" w:hAnsi="Footlight MT Light"/>
          <w:color w:val="FF0000"/>
          <w:sz w:val="24"/>
          <w:szCs w:val="24"/>
        </w:rPr>
        <w:t>f</w:t>
      </w:r>
      <w:r w:rsidR="006E7F15" w:rsidRPr="00AD7A6C">
        <w:rPr>
          <w:rFonts w:ascii="Footlight MT Light" w:hAnsi="Footlight MT Light"/>
          <w:sz w:val="24"/>
          <w:szCs w:val="24"/>
        </w:rPr>
        <w:t xml:space="preserve"> the 1999 Constitution regarding minerals found in on land and the continental shelf of Nigeria and the </w:t>
      </w:r>
      <w:r w:rsidR="00BE3AF8">
        <w:rPr>
          <w:rFonts w:ascii="Footlight MT Light" w:hAnsi="Footlight MT Light"/>
          <w:sz w:val="24"/>
          <w:szCs w:val="24"/>
        </w:rPr>
        <w:t>L</w:t>
      </w:r>
      <w:r w:rsidR="006E7F15" w:rsidRPr="00AD7A6C">
        <w:rPr>
          <w:rFonts w:ascii="Footlight MT Light" w:hAnsi="Footlight MT Light"/>
          <w:sz w:val="24"/>
          <w:szCs w:val="24"/>
        </w:rPr>
        <w:t xml:space="preserve">and </w:t>
      </w:r>
      <w:r w:rsidR="00BE3AF8">
        <w:rPr>
          <w:rFonts w:ascii="Footlight MT Light" w:hAnsi="Footlight MT Light"/>
          <w:sz w:val="24"/>
          <w:szCs w:val="24"/>
        </w:rPr>
        <w:t>U</w:t>
      </w:r>
      <w:r w:rsidR="006E7F15" w:rsidRPr="00AD7A6C">
        <w:rPr>
          <w:rFonts w:ascii="Footlight MT Light" w:hAnsi="Footlight MT Light"/>
          <w:sz w:val="24"/>
          <w:szCs w:val="24"/>
        </w:rPr>
        <w:t>se Act</w:t>
      </w:r>
      <w:r w:rsidR="00BE3AF8">
        <w:rPr>
          <w:rFonts w:ascii="Footlight MT Light" w:hAnsi="Footlight MT Light"/>
          <w:sz w:val="24"/>
          <w:szCs w:val="24"/>
        </w:rPr>
        <w:t xml:space="preserve"> which empower state governments to regulate land use within their domains is a case in point</w:t>
      </w:r>
      <w:r w:rsidR="006E7F15" w:rsidRPr="00AD7A6C">
        <w:rPr>
          <w:rFonts w:ascii="Footlight MT Light" w:hAnsi="Footlight MT Light"/>
          <w:sz w:val="24"/>
          <w:szCs w:val="24"/>
        </w:rPr>
        <w:t xml:space="preserve">. </w:t>
      </w:r>
      <w:r w:rsidRPr="00AD7A6C">
        <w:rPr>
          <w:rFonts w:ascii="Footlight MT Light" w:hAnsi="Footlight MT Light"/>
          <w:sz w:val="24"/>
          <w:szCs w:val="24"/>
        </w:rPr>
        <w:t xml:space="preserve"> The</w:t>
      </w:r>
      <w:r w:rsidR="00BE3AF8">
        <w:rPr>
          <w:rFonts w:ascii="Footlight MT Light" w:hAnsi="Footlight MT Light"/>
          <w:sz w:val="24"/>
          <w:szCs w:val="24"/>
        </w:rPr>
        <w:t xml:space="preserve"> exercise of power in most cases</w:t>
      </w:r>
      <w:r w:rsidR="006E7F15" w:rsidRPr="00AD7A6C">
        <w:rPr>
          <w:rFonts w:ascii="Footlight MT Light" w:hAnsi="Footlight MT Light"/>
          <w:sz w:val="24"/>
          <w:szCs w:val="24"/>
        </w:rPr>
        <w:t xml:space="preserve"> can be </w:t>
      </w:r>
      <w:r w:rsidRPr="00AD7A6C">
        <w:rPr>
          <w:rFonts w:ascii="Footlight MT Light" w:hAnsi="Footlight MT Light"/>
          <w:sz w:val="24"/>
          <w:szCs w:val="24"/>
        </w:rPr>
        <w:t xml:space="preserve">overlapping, and subject to frequent changes, </w:t>
      </w:r>
      <w:r w:rsidR="00BE3AF8">
        <w:rPr>
          <w:rFonts w:ascii="Footlight MT Light" w:hAnsi="Footlight MT Light"/>
          <w:sz w:val="24"/>
          <w:szCs w:val="24"/>
        </w:rPr>
        <w:t xml:space="preserve">creating gaps in regulatory functions that cause many problems making it </w:t>
      </w:r>
      <w:r w:rsidRPr="00AD7A6C">
        <w:rPr>
          <w:rFonts w:ascii="Footlight MT Light" w:hAnsi="Footlight MT Light"/>
          <w:sz w:val="24"/>
          <w:szCs w:val="24"/>
        </w:rPr>
        <w:t>challenging to achieve transparency and accountability in the sector.</w:t>
      </w:r>
    </w:p>
    <w:p w14:paraId="13F2CD56" w14:textId="77777777" w:rsidR="00252C10" w:rsidRPr="00AD7A6C" w:rsidRDefault="00252C10" w:rsidP="006E69D2">
      <w:pPr>
        <w:pStyle w:val="ListParagraph"/>
        <w:jc w:val="both"/>
        <w:rPr>
          <w:rFonts w:ascii="Footlight MT Light" w:hAnsi="Footlight MT Light"/>
          <w:b/>
          <w:bCs/>
          <w:sz w:val="24"/>
          <w:szCs w:val="24"/>
        </w:rPr>
      </w:pPr>
    </w:p>
    <w:p w14:paraId="7F13ABA7" w14:textId="166DC41F" w:rsidR="00223724" w:rsidRPr="00AD7A6C" w:rsidRDefault="00223724" w:rsidP="006E69D2">
      <w:pPr>
        <w:pStyle w:val="ListParagraph"/>
        <w:jc w:val="both"/>
        <w:rPr>
          <w:rFonts w:ascii="Footlight MT Light" w:hAnsi="Footlight MT Light"/>
          <w:sz w:val="24"/>
          <w:szCs w:val="24"/>
        </w:rPr>
      </w:pPr>
      <w:r w:rsidRPr="00AD7A6C">
        <w:rPr>
          <w:rFonts w:ascii="Footlight MT Light" w:hAnsi="Footlight MT Light"/>
          <w:b/>
          <w:bCs/>
          <w:sz w:val="24"/>
          <w:szCs w:val="24"/>
        </w:rPr>
        <w:t>Enablers</w:t>
      </w:r>
    </w:p>
    <w:p w14:paraId="5D832384" w14:textId="03F36EA0" w:rsidR="00A367B2" w:rsidRDefault="0059579F" w:rsidP="00A367B2">
      <w:pPr>
        <w:pStyle w:val="ListParagraph"/>
        <w:numPr>
          <w:ilvl w:val="0"/>
          <w:numId w:val="33"/>
        </w:numPr>
        <w:jc w:val="both"/>
        <w:rPr>
          <w:rFonts w:ascii="Footlight MT Light" w:hAnsi="Footlight MT Light"/>
          <w:sz w:val="24"/>
          <w:szCs w:val="24"/>
        </w:rPr>
      </w:pPr>
      <w:r>
        <w:rPr>
          <w:rFonts w:ascii="Footlight MT Light" w:hAnsi="Footlight MT Light"/>
          <w:sz w:val="24"/>
          <w:szCs w:val="24"/>
        </w:rPr>
        <w:t>Strong government support for the EITI process: Through the provision of high government officials to chair the NWSG- governing body responsible for EITI implementation in Nigeria</w:t>
      </w:r>
    </w:p>
    <w:p w14:paraId="641C46BC" w14:textId="22578CCC" w:rsidR="0059579F" w:rsidRDefault="0059579F" w:rsidP="00A367B2">
      <w:pPr>
        <w:pStyle w:val="ListParagraph"/>
        <w:numPr>
          <w:ilvl w:val="0"/>
          <w:numId w:val="33"/>
        </w:numPr>
        <w:jc w:val="both"/>
        <w:rPr>
          <w:rFonts w:ascii="Footlight MT Light" w:hAnsi="Footlight MT Light"/>
          <w:sz w:val="24"/>
          <w:szCs w:val="24"/>
        </w:rPr>
      </w:pPr>
      <w:r>
        <w:rPr>
          <w:rFonts w:ascii="Footlight MT Light" w:hAnsi="Footlight MT Light"/>
          <w:sz w:val="24"/>
          <w:szCs w:val="24"/>
        </w:rPr>
        <w:t xml:space="preserve">Civil society and public support for </w:t>
      </w:r>
      <w:r w:rsidR="00BE3AF8">
        <w:rPr>
          <w:rFonts w:ascii="Footlight MT Light" w:hAnsi="Footlight MT Light"/>
          <w:sz w:val="24"/>
          <w:szCs w:val="24"/>
        </w:rPr>
        <w:t>EITI implementation at all levels of government across the federation</w:t>
      </w:r>
    </w:p>
    <w:p w14:paraId="754BD0FA" w14:textId="35521376" w:rsidR="00BE3AF8" w:rsidRDefault="00BE3AF8" w:rsidP="00A367B2">
      <w:pPr>
        <w:pStyle w:val="ListParagraph"/>
        <w:numPr>
          <w:ilvl w:val="0"/>
          <w:numId w:val="33"/>
        </w:numPr>
        <w:jc w:val="both"/>
        <w:rPr>
          <w:rFonts w:ascii="Footlight MT Light" w:hAnsi="Footlight MT Light"/>
          <w:sz w:val="24"/>
          <w:szCs w:val="24"/>
        </w:rPr>
      </w:pPr>
      <w:r>
        <w:rPr>
          <w:rFonts w:ascii="Footlight MT Light" w:hAnsi="Footlight MT Light"/>
          <w:sz w:val="24"/>
          <w:szCs w:val="24"/>
        </w:rPr>
        <w:t>Support (Technical and Financial) from donor agencies, bilateral and multilateral organizations, local and international NGO’s and professional bodies.</w:t>
      </w:r>
    </w:p>
    <w:p w14:paraId="4C610062" w14:textId="77777777" w:rsidR="00BE3AF8" w:rsidRPr="00BE3AF8" w:rsidRDefault="00BE3AF8" w:rsidP="00BE3AF8">
      <w:pPr>
        <w:jc w:val="both"/>
        <w:rPr>
          <w:rFonts w:ascii="Footlight MT Light" w:hAnsi="Footlight MT Light"/>
          <w:sz w:val="24"/>
          <w:szCs w:val="24"/>
        </w:rPr>
      </w:pPr>
    </w:p>
    <w:p w14:paraId="57E09249" w14:textId="5DC9B70C" w:rsidR="008559BC" w:rsidRPr="004607D6" w:rsidRDefault="00A367B2" w:rsidP="00A367B2">
      <w:pPr>
        <w:ind w:firstLine="720"/>
        <w:jc w:val="both"/>
        <w:rPr>
          <w:rFonts w:ascii="Footlight MT Light" w:hAnsi="Footlight MT Light"/>
          <w:b/>
          <w:bCs/>
          <w:sz w:val="24"/>
          <w:szCs w:val="24"/>
        </w:rPr>
      </w:pPr>
      <w:r w:rsidRPr="004607D6">
        <w:rPr>
          <w:rFonts w:ascii="Footlight MT Light" w:hAnsi="Footlight MT Light"/>
          <w:b/>
          <w:bCs/>
          <w:sz w:val="24"/>
          <w:szCs w:val="24"/>
        </w:rPr>
        <w:lastRenderedPageBreak/>
        <w:t>S</w:t>
      </w:r>
      <w:r w:rsidR="008559BC" w:rsidRPr="004607D6">
        <w:rPr>
          <w:rFonts w:ascii="Footlight MT Light" w:hAnsi="Footlight MT Light"/>
          <w:b/>
          <w:bCs/>
          <w:sz w:val="24"/>
          <w:szCs w:val="24"/>
        </w:rPr>
        <w:t>takeholders' benefits from adopting EITI</w:t>
      </w:r>
    </w:p>
    <w:p w14:paraId="002BB3BC" w14:textId="77777777" w:rsidR="004607D6" w:rsidRPr="004607D6" w:rsidRDefault="004607D6" w:rsidP="004607D6">
      <w:pPr>
        <w:pStyle w:val="ListParagraph"/>
        <w:numPr>
          <w:ilvl w:val="0"/>
          <w:numId w:val="34"/>
        </w:numPr>
        <w:jc w:val="both"/>
        <w:rPr>
          <w:rFonts w:ascii="Footlight MT Light" w:hAnsi="Footlight MT Light"/>
          <w:sz w:val="24"/>
          <w:szCs w:val="24"/>
        </w:rPr>
      </w:pPr>
      <w:r w:rsidRPr="004607D6">
        <w:rPr>
          <w:rFonts w:ascii="Footlight MT Light" w:hAnsi="Footlight MT Light"/>
          <w:sz w:val="24"/>
          <w:szCs w:val="24"/>
        </w:rPr>
        <w:t>Enhanced Reputation and Credibility: By participating in EITI, extractive companies demonstrate their commitment to transparency and good governance. This can significantly enhance their reputation among stakeholders, including investors, governments, and local communities. A strong reputation for ethical practices can lead to increased trust and potentially attract more investment.</w:t>
      </w:r>
    </w:p>
    <w:p w14:paraId="279AF084" w14:textId="77777777" w:rsidR="004607D6" w:rsidRPr="004607D6" w:rsidRDefault="004607D6" w:rsidP="004607D6">
      <w:pPr>
        <w:pStyle w:val="ListParagraph"/>
        <w:numPr>
          <w:ilvl w:val="0"/>
          <w:numId w:val="34"/>
        </w:numPr>
        <w:jc w:val="both"/>
        <w:rPr>
          <w:rFonts w:ascii="Footlight MT Light" w:hAnsi="Footlight MT Light"/>
          <w:sz w:val="24"/>
          <w:szCs w:val="24"/>
        </w:rPr>
      </w:pPr>
      <w:r w:rsidRPr="004607D6">
        <w:rPr>
          <w:rFonts w:ascii="Footlight MT Light" w:hAnsi="Footlight MT Light"/>
          <w:sz w:val="24"/>
          <w:szCs w:val="24"/>
        </w:rPr>
        <w:t>Improved Risk Management: EITI adoption helps companies identify and mitigate risks associated with corruption and mismanagement in the extractive sector. By adhering to transparency standards, companies can better manage their operational risks, ensuring compliance with regulatory requirements and reducing the likelihood of legal challenges or sanctions.</w:t>
      </w:r>
    </w:p>
    <w:p w14:paraId="00B3DEBE" w14:textId="7E09BACA" w:rsidR="00187695" w:rsidRPr="004607D6" w:rsidRDefault="004607D6" w:rsidP="004607D6">
      <w:pPr>
        <w:pStyle w:val="ListParagraph"/>
        <w:numPr>
          <w:ilvl w:val="0"/>
          <w:numId w:val="34"/>
        </w:numPr>
        <w:jc w:val="both"/>
        <w:rPr>
          <w:rFonts w:ascii="Footlight MT Light" w:hAnsi="Footlight MT Light"/>
          <w:sz w:val="24"/>
          <w:szCs w:val="24"/>
        </w:rPr>
      </w:pPr>
      <w:r w:rsidRPr="004607D6">
        <w:rPr>
          <w:rFonts w:ascii="Footlight MT Light" w:hAnsi="Footlight MT Light"/>
          <w:sz w:val="24"/>
          <w:szCs w:val="24"/>
        </w:rPr>
        <w:t>Access to New Markets and Opportunities: Companies that embrace EITI principles may find it easier to enter new markets, particularly in jurisdictions where transparency is a critical factor for investment decisions. EITI compliance can serve as a competitive advantage, positioning companies favorably in negotiations with governments and international partners who prioritize responsible resource management.</w:t>
      </w:r>
    </w:p>
    <w:p w14:paraId="1A9F13DE" w14:textId="77777777" w:rsidR="004607D6" w:rsidRPr="004607D6" w:rsidRDefault="004607D6" w:rsidP="004607D6">
      <w:pPr>
        <w:pStyle w:val="ListParagraph"/>
        <w:ind w:left="1080"/>
        <w:jc w:val="both"/>
        <w:rPr>
          <w:rFonts w:ascii="Footlight MT Light" w:hAnsi="Footlight MT Light"/>
          <w:sz w:val="24"/>
          <w:szCs w:val="24"/>
        </w:rPr>
      </w:pPr>
    </w:p>
    <w:p w14:paraId="5D58E631" w14:textId="1190A70B" w:rsidR="008559BC" w:rsidRPr="004607D6" w:rsidRDefault="00A367B2" w:rsidP="006E69D2">
      <w:pPr>
        <w:pStyle w:val="ListParagraph"/>
        <w:numPr>
          <w:ilvl w:val="0"/>
          <w:numId w:val="7"/>
        </w:numPr>
        <w:tabs>
          <w:tab w:val="left" w:pos="720"/>
        </w:tabs>
        <w:jc w:val="both"/>
        <w:rPr>
          <w:rFonts w:ascii="Footlight MT Light" w:hAnsi="Footlight MT Light"/>
          <w:b/>
          <w:bCs/>
          <w:sz w:val="24"/>
          <w:szCs w:val="24"/>
        </w:rPr>
      </w:pPr>
      <w:r w:rsidRPr="004607D6">
        <w:rPr>
          <w:rFonts w:ascii="Footlight MT Light" w:hAnsi="Footlight MT Light"/>
          <w:b/>
          <w:bCs/>
          <w:sz w:val="24"/>
          <w:szCs w:val="24"/>
        </w:rPr>
        <w:t xml:space="preserve">Findings, </w:t>
      </w:r>
      <w:r w:rsidR="008559BC" w:rsidRPr="004607D6">
        <w:rPr>
          <w:rFonts w:ascii="Footlight MT Light" w:hAnsi="Footlight MT Light"/>
          <w:b/>
          <w:bCs/>
          <w:sz w:val="24"/>
          <w:szCs w:val="24"/>
        </w:rPr>
        <w:t>Recommend</w:t>
      </w:r>
      <w:r w:rsidRPr="004607D6">
        <w:rPr>
          <w:rFonts w:ascii="Footlight MT Light" w:hAnsi="Footlight MT Light"/>
          <w:b/>
          <w:bCs/>
          <w:sz w:val="24"/>
          <w:szCs w:val="24"/>
        </w:rPr>
        <w:t xml:space="preserve">ation and </w:t>
      </w:r>
      <w:r w:rsidR="00D54CE7" w:rsidRPr="004607D6">
        <w:rPr>
          <w:rFonts w:ascii="Footlight MT Light" w:hAnsi="Footlight MT Light"/>
          <w:b/>
          <w:bCs/>
          <w:sz w:val="24"/>
          <w:szCs w:val="24"/>
        </w:rPr>
        <w:t>Suggested</w:t>
      </w:r>
      <w:r w:rsidR="00ED44AC" w:rsidRPr="004607D6">
        <w:rPr>
          <w:rFonts w:ascii="Footlight MT Light" w:hAnsi="Footlight MT Light"/>
          <w:b/>
          <w:bCs/>
          <w:sz w:val="24"/>
          <w:szCs w:val="24"/>
        </w:rPr>
        <w:t xml:space="preserve"> Disclosures</w:t>
      </w:r>
    </w:p>
    <w:p w14:paraId="299D0ADA" w14:textId="77777777" w:rsidR="00D54CE7" w:rsidRPr="004607D6" w:rsidRDefault="00D54CE7" w:rsidP="00D54CE7">
      <w:pPr>
        <w:pStyle w:val="ListParagraph"/>
        <w:jc w:val="both"/>
        <w:rPr>
          <w:rFonts w:ascii="Footlight MT Light" w:hAnsi="Footlight MT Light"/>
          <w:sz w:val="24"/>
          <w:szCs w:val="24"/>
        </w:rPr>
      </w:pPr>
    </w:p>
    <w:p w14:paraId="315B18D1" w14:textId="6A38D7AF" w:rsidR="00D54CE7" w:rsidRPr="004607D6" w:rsidRDefault="00D54CE7" w:rsidP="00D54CE7">
      <w:pPr>
        <w:pStyle w:val="ListParagraph"/>
        <w:jc w:val="both"/>
        <w:rPr>
          <w:rFonts w:ascii="Footlight MT Light" w:hAnsi="Footlight MT Light"/>
          <w:sz w:val="24"/>
          <w:szCs w:val="24"/>
        </w:rPr>
      </w:pPr>
      <w:r w:rsidRPr="004607D6">
        <w:rPr>
          <w:rFonts w:ascii="Footlight MT Light" w:hAnsi="Footlight MT Light"/>
          <w:sz w:val="24"/>
          <w:szCs w:val="24"/>
        </w:rPr>
        <w:t xml:space="preserve">Findings </w:t>
      </w:r>
    </w:p>
    <w:p w14:paraId="0D228591" w14:textId="25852BE2" w:rsidR="004607D6" w:rsidRPr="004607D6" w:rsidRDefault="004607D6" w:rsidP="004607D6">
      <w:pPr>
        <w:pStyle w:val="ListParagraph"/>
        <w:numPr>
          <w:ilvl w:val="0"/>
          <w:numId w:val="33"/>
        </w:numPr>
        <w:jc w:val="both"/>
        <w:rPr>
          <w:rFonts w:ascii="Footlight MT Light" w:hAnsi="Footlight MT Light"/>
          <w:sz w:val="24"/>
          <w:szCs w:val="24"/>
        </w:rPr>
      </w:pPr>
      <w:r w:rsidRPr="004607D6">
        <w:rPr>
          <w:rFonts w:ascii="Footlight MT Light" w:hAnsi="Footlight MT Light"/>
          <w:sz w:val="24"/>
          <w:szCs w:val="24"/>
        </w:rPr>
        <w:t xml:space="preserve">A significant number of covered entities do not systematically disclose EITI relevant information on </w:t>
      </w:r>
      <w:r w:rsidRPr="004607D6">
        <w:rPr>
          <w:rFonts w:ascii="Footlight MT Light" w:hAnsi="Footlight MT Light"/>
          <w:sz w:val="24"/>
          <w:szCs w:val="24"/>
        </w:rPr>
        <w:t xml:space="preserve">the </w:t>
      </w:r>
      <w:r w:rsidRPr="004607D6">
        <w:rPr>
          <w:rFonts w:ascii="Footlight MT Light" w:hAnsi="Footlight MT Light"/>
          <w:sz w:val="24"/>
          <w:szCs w:val="24"/>
        </w:rPr>
        <w:t xml:space="preserve">public </w:t>
      </w:r>
      <w:r w:rsidRPr="004607D6">
        <w:rPr>
          <w:rFonts w:ascii="Footlight MT Light" w:hAnsi="Footlight MT Light"/>
          <w:sz w:val="24"/>
          <w:szCs w:val="24"/>
        </w:rPr>
        <w:t xml:space="preserve">facing </w:t>
      </w:r>
      <w:r w:rsidRPr="004607D6">
        <w:rPr>
          <w:rFonts w:ascii="Footlight MT Light" w:hAnsi="Footlight MT Light"/>
          <w:sz w:val="24"/>
          <w:szCs w:val="24"/>
        </w:rPr>
        <w:t>platforms they manage. E.g.,  A</w:t>
      </w:r>
      <w:r w:rsidRPr="004607D6">
        <w:rPr>
          <w:rFonts w:ascii="Footlight MT Light" w:hAnsi="Footlight MT Light"/>
          <w:sz w:val="24"/>
          <w:szCs w:val="24"/>
        </w:rPr>
        <w:t xml:space="preserve">udited </w:t>
      </w:r>
      <w:r w:rsidRPr="004607D6">
        <w:rPr>
          <w:rFonts w:ascii="Footlight MT Light" w:hAnsi="Footlight MT Light"/>
          <w:sz w:val="24"/>
          <w:szCs w:val="24"/>
        </w:rPr>
        <w:t>F</w:t>
      </w:r>
      <w:r w:rsidRPr="004607D6">
        <w:rPr>
          <w:rFonts w:ascii="Footlight MT Light" w:hAnsi="Footlight MT Light"/>
          <w:sz w:val="24"/>
          <w:szCs w:val="24"/>
        </w:rPr>
        <w:t xml:space="preserve">inancial </w:t>
      </w:r>
      <w:r w:rsidRPr="004607D6">
        <w:rPr>
          <w:rFonts w:ascii="Footlight MT Light" w:hAnsi="Footlight MT Light"/>
          <w:sz w:val="24"/>
          <w:szCs w:val="24"/>
        </w:rPr>
        <w:t>S</w:t>
      </w:r>
      <w:r w:rsidRPr="004607D6">
        <w:rPr>
          <w:rFonts w:ascii="Footlight MT Light" w:hAnsi="Footlight MT Light"/>
          <w:sz w:val="24"/>
          <w:szCs w:val="24"/>
        </w:rPr>
        <w:t>tatements</w:t>
      </w:r>
      <w:r w:rsidRPr="004607D6">
        <w:rPr>
          <w:rFonts w:ascii="Footlight MT Light" w:hAnsi="Footlight MT Light"/>
          <w:sz w:val="24"/>
          <w:szCs w:val="24"/>
        </w:rPr>
        <w:t xml:space="preserve"> of companies </w:t>
      </w:r>
      <w:r w:rsidRPr="004607D6">
        <w:rPr>
          <w:rFonts w:ascii="Footlight MT Light" w:hAnsi="Footlight MT Light"/>
          <w:sz w:val="24"/>
          <w:szCs w:val="24"/>
        </w:rPr>
        <w:t>are not</w:t>
      </w:r>
      <w:r w:rsidRPr="004607D6">
        <w:rPr>
          <w:rFonts w:ascii="Footlight MT Light" w:hAnsi="Footlight MT Light"/>
          <w:sz w:val="24"/>
          <w:szCs w:val="24"/>
        </w:rPr>
        <w:t xml:space="preserve"> disclosed on company websites.</w:t>
      </w:r>
    </w:p>
    <w:p w14:paraId="006ACF91" w14:textId="77777777" w:rsidR="004607D6" w:rsidRPr="004607D6" w:rsidRDefault="004607D6" w:rsidP="004607D6">
      <w:pPr>
        <w:pStyle w:val="ListParagraph"/>
        <w:numPr>
          <w:ilvl w:val="0"/>
          <w:numId w:val="33"/>
        </w:numPr>
        <w:jc w:val="both"/>
        <w:rPr>
          <w:rFonts w:ascii="Footlight MT Light" w:hAnsi="Footlight MT Light"/>
          <w:sz w:val="24"/>
          <w:szCs w:val="24"/>
        </w:rPr>
      </w:pPr>
      <w:r w:rsidRPr="004607D6">
        <w:rPr>
          <w:rFonts w:ascii="Footlight MT Light" w:hAnsi="Footlight MT Light"/>
          <w:sz w:val="24"/>
          <w:szCs w:val="24"/>
        </w:rPr>
        <w:t>For the few that do, information is not comprehensive and complete</w:t>
      </w:r>
    </w:p>
    <w:p w14:paraId="3FDC6275" w14:textId="77777777" w:rsidR="00D54CE7" w:rsidRPr="004607D6" w:rsidRDefault="00D54CE7" w:rsidP="00D54CE7">
      <w:pPr>
        <w:pStyle w:val="ListParagraph"/>
        <w:jc w:val="both"/>
        <w:rPr>
          <w:rFonts w:ascii="Footlight MT Light" w:hAnsi="Footlight MT Light"/>
          <w:sz w:val="24"/>
          <w:szCs w:val="24"/>
        </w:rPr>
      </w:pPr>
    </w:p>
    <w:p w14:paraId="0D651433" w14:textId="273E7717" w:rsidR="00D54CE7" w:rsidRPr="004607D6" w:rsidRDefault="004607D6" w:rsidP="004607D6">
      <w:pPr>
        <w:pStyle w:val="ListParagraph"/>
        <w:numPr>
          <w:ilvl w:val="0"/>
          <w:numId w:val="7"/>
        </w:numPr>
        <w:jc w:val="both"/>
        <w:rPr>
          <w:rFonts w:ascii="Footlight MT Light" w:hAnsi="Footlight MT Light"/>
          <w:b/>
          <w:bCs/>
          <w:sz w:val="24"/>
          <w:szCs w:val="24"/>
        </w:rPr>
      </w:pPr>
      <w:r w:rsidRPr="004607D6">
        <w:rPr>
          <w:rFonts w:ascii="Footlight MT Light" w:hAnsi="Footlight MT Light"/>
          <w:b/>
          <w:bCs/>
          <w:sz w:val="24"/>
          <w:szCs w:val="24"/>
        </w:rPr>
        <w:t>Suggested Disclosures for the 2022/2023 NEITI Industry Reports from Scoping Study</w:t>
      </w:r>
    </w:p>
    <w:tbl>
      <w:tblPr>
        <w:tblStyle w:val="TableGrid1"/>
        <w:tblW w:w="5500" w:type="pct"/>
        <w:tblLook w:val="04A0" w:firstRow="1" w:lastRow="0" w:firstColumn="1" w:lastColumn="0" w:noHBand="0" w:noVBand="1"/>
      </w:tblPr>
      <w:tblGrid>
        <w:gridCol w:w="1976"/>
        <w:gridCol w:w="2130"/>
        <w:gridCol w:w="2035"/>
        <w:gridCol w:w="1657"/>
        <w:gridCol w:w="2120"/>
      </w:tblGrid>
      <w:tr w:rsidR="00AD7A6C" w:rsidRPr="00187695" w14:paraId="0A0903D4" w14:textId="77777777" w:rsidTr="00187695">
        <w:tc>
          <w:tcPr>
            <w:tcW w:w="5000" w:type="pct"/>
            <w:gridSpan w:val="5"/>
          </w:tcPr>
          <w:p w14:paraId="40F820A4" w14:textId="6F95C33B" w:rsidR="00187695" w:rsidRPr="00187695" w:rsidRDefault="00187695" w:rsidP="006E69D2">
            <w:pPr>
              <w:spacing w:before="240" w:after="120"/>
              <w:jc w:val="both"/>
              <w:rPr>
                <w:rFonts w:ascii="Footlight MT Light" w:eastAsia="Aptos" w:hAnsi="Footlight MT Light" w:cs="Times New Roman"/>
                <w:b/>
                <w:bCs/>
                <w:lang w:eastAsia="en-US"/>
              </w:rPr>
            </w:pPr>
          </w:p>
        </w:tc>
      </w:tr>
      <w:tr w:rsidR="00AD7A6C" w:rsidRPr="00AD7A6C" w14:paraId="33D333ED" w14:textId="77777777" w:rsidTr="00187695">
        <w:tc>
          <w:tcPr>
            <w:tcW w:w="996" w:type="pct"/>
          </w:tcPr>
          <w:p w14:paraId="16E4A419"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Disclosure category</w:t>
            </w:r>
          </w:p>
        </w:tc>
        <w:tc>
          <w:tcPr>
            <w:tcW w:w="1074" w:type="pct"/>
          </w:tcPr>
          <w:p w14:paraId="5C7822E1" w14:textId="2EEB0347" w:rsidR="00187695" w:rsidRPr="00187695" w:rsidRDefault="00CB2163" w:rsidP="006E69D2">
            <w:pPr>
              <w:jc w:val="both"/>
              <w:rPr>
                <w:rFonts w:ascii="Footlight MT Light" w:eastAsia="Aptos" w:hAnsi="Footlight MT Light" w:cs="Times New Roman"/>
                <w:b/>
                <w:bCs/>
                <w:lang w:eastAsia="en-US"/>
              </w:rPr>
            </w:pPr>
            <w:r w:rsidRPr="00AD7A6C">
              <w:rPr>
                <w:rFonts w:ascii="Footlight MT Light" w:eastAsia="Aptos" w:hAnsi="Footlight MT Light" w:cs="Times New Roman"/>
                <w:b/>
                <w:bCs/>
                <w:lang w:eastAsia="en-US"/>
              </w:rPr>
              <w:t xml:space="preserve">Additional </w:t>
            </w:r>
            <w:r w:rsidR="00187695" w:rsidRPr="00187695">
              <w:rPr>
                <w:rFonts w:ascii="Footlight MT Light" w:eastAsia="Aptos" w:hAnsi="Footlight MT Light" w:cs="Times New Roman"/>
                <w:b/>
                <w:bCs/>
                <w:lang w:eastAsia="en-US"/>
              </w:rPr>
              <w:t>Disclosure</w:t>
            </w:r>
            <w:r w:rsidRPr="00AD7A6C">
              <w:rPr>
                <w:rFonts w:ascii="Footlight MT Light" w:eastAsia="Aptos" w:hAnsi="Footlight MT Light" w:cs="Times New Roman"/>
                <w:b/>
                <w:bCs/>
                <w:lang w:eastAsia="en-US"/>
              </w:rPr>
              <w:t>s</w:t>
            </w:r>
          </w:p>
        </w:tc>
        <w:tc>
          <w:tcPr>
            <w:tcW w:w="1026" w:type="pct"/>
          </w:tcPr>
          <w:p w14:paraId="07DEFCBD"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Disclosing entity</w:t>
            </w:r>
          </w:p>
        </w:tc>
        <w:tc>
          <w:tcPr>
            <w:tcW w:w="835" w:type="pct"/>
          </w:tcPr>
          <w:p w14:paraId="1092A0D3" w14:textId="5DA3C12D"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Reconcil</w:t>
            </w:r>
            <w:r w:rsidR="001F50C2" w:rsidRPr="00AD7A6C">
              <w:rPr>
                <w:rFonts w:ascii="Footlight MT Light" w:eastAsia="Aptos" w:hAnsi="Footlight MT Light" w:cs="Times New Roman"/>
                <w:b/>
                <w:bCs/>
                <w:lang w:eastAsia="en-US"/>
              </w:rPr>
              <w:t>ing</w:t>
            </w:r>
            <w:r w:rsidRPr="00187695">
              <w:rPr>
                <w:rFonts w:ascii="Footlight MT Light" w:eastAsia="Aptos" w:hAnsi="Footlight MT Light" w:cs="Times New Roman"/>
                <w:b/>
                <w:bCs/>
                <w:lang w:eastAsia="en-US"/>
              </w:rPr>
              <w:t xml:space="preserve"> data entity</w:t>
            </w:r>
          </w:p>
        </w:tc>
        <w:tc>
          <w:tcPr>
            <w:tcW w:w="1069" w:type="pct"/>
          </w:tcPr>
          <w:p w14:paraId="64308109" w14:textId="7B7D1626" w:rsidR="00187695" w:rsidRPr="00187695" w:rsidRDefault="00ED44AC" w:rsidP="006E69D2">
            <w:pPr>
              <w:jc w:val="both"/>
              <w:rPr>
                <w:rFonts w:ascii="Footlight MT Light" w:eastAsia="Aptos" w:hAnsi="Footlight MT Light" w:cs="Times New Roman"/>
                <w:b/>
                <w:bCs/>
                <w:lang w:eastAsia="en-US"/>
              </w:rPr>
            </w:pPr>
            <w:r w:rsidRPr="00AD7A6C">
              <w:rPr>
                <w:rFonts w:ascii="Footlight MT Light" w:eastAsia="Aptos" w:hAnsi="Footlight MT Light" w:cs="Times New Roman"/>
                <w:b/>
                <w:bCs/>
                <w:lang w:eastAsia="en-US"/>
              </w:rPr>
              <w:t>Comment</w:t>
            </w:r>
          </w:p>
        </w:tc>
      </w:tr>
      <w:tr w:rsidR="00AD7A6C" w:rsidRPr="00AD7A6C" w14:paraId="7E770246" w14:textId="77777777" w:rsidTr="00187695">
        <w:tc>
          <w:tcPr>
            <w:tcW w:w="996" w:type="pct"/>
            <w:vMerge w:val="restart"/>
          </w:tcPr>
          <w:p w14:paraId="487BD607" w14:textId="77777777" w:rsidR="00187695" w:rsidRPr="00187695" w:rsidRDefault="00187695" w:rsidP="006E69D2">
            <w:pPr>
              <w:jc w:val="both"/>
              <w:rPr>
                <w:rFonts w:ascii="Footlight MT Light" w:eastAsia="Aptos" w:hAnsi="Footlight MT Light" w:cs="Times New Roman"/>
                <w:b/>
                <w:bCs/>
                <w:lang w:eastAsia="en-US"/>
              </w:rPr>
            </w:pPr>
          </w:p>
          <w:p w14:paraId="51CE9698" w14:textId="77777777" w:rsidR="00187695" w:rsidRPr="00187695" w:rsidRDefault="00187695" w:rsidP="006E69D2">
            <w:pPr>
              <w:jc w:val="both"/>
              <w:rPr>
                <w:rFonts w:ascii="Footlight MT Light" w:eastAsia="Aptos" w:hAnsi="Footlight MT Light" w:cs="Times New Roman"/>
                <w:b/>
                <w:bCs/>
                <w:lang w:eastAsia="en-US"/>
              </w:rPr>
            </w:pPr>
          </w:p>
          <w:p w14:paraId="7D742D11" w14:textId="77777777" w:rsidR="00187695" w:rsidRPr="00187695" w:rsidRDefault="00187695" w:rsidP="006E69D2">
            <w:pPr>
              <w:jc w:val="both"/>
              <w:rPr>
                <w:rFonts w:ascii="Footlight MT Light" w:eastAsia="Aptos" w:hAnsi="Footlight MT Light" w:cs="Times New Roman"/>
                <w:b/>
                <w:bCs/>
                <w:lang w:eastAsia="en-US"/>
              </w:rPr>
            </w:pPr>
          </w:p>
          <w:p w14:paraId="6CF1DBEF" w14:textId="77777777" w:rsidR="00187695" w:rsidRPr="00187695" w:rsidRDefault="00187695" w:rsidP="006E69D2">
            <w:pPr>
              <w:jc w:val="both"/>
              <w:rPr>
                <w:rFonts w:ascii="Footlight MT Light" w:eastAsia="Aptos" w:hAnsi="Footlight MT Light" w:cs="Times New Roman"/>
                <w:b/>
                <w:bCs/>
                <w:lang w:eastAsia="en-US"/>
              </w:rPr>
            </w:pPr>
          </w:p>
          <w:p w14:paraId="158F5C48" w14:textId="77777777" w:rsidR="00187695" w:rsidRPr="00187695" w:rsidRDefault="00187695" w:rsidP="006E69D2">
            <w:pPr>
              <w:jc w:val="both"/>
              <w:rPr>
                <w:rFonts w:ascii="Footlight MT Light" w:eastAsia="Aptos" w:hAnsi="Footlight MT Light" w:cs="Times New Roman"/>
                <w:b/>
                <w:bCs/>
                <w:lang w:eastAsia="en-US"/>
              </w:rPr>
            </w:pPr>
          </w:p>
          <w:p w14:paraId="37D404C2" w14:textId="77777777" w:rsidR="00187695" w:rsidRPr="00187695" w:rsidRDefault="00187695" w:rsidP="006E69D2">
            <w:pPr>
              <w:jc w:val="both"/>
              <w:rPr>
                <w:rFonts w:ascii="Footlight MT Light" w:eastAsia="Aptos" w:hAnsi="Footlight MT Light" w:cs="Times New Roman"/>
                <w:b/>
                <w:bCs/>
                <w:lang w:eastAsia="en-US"/>
              </w:rPr>
            </w:pPr>
          </w:p>
          <w:p w14:paraId="5BC74EB5" w14:textId="77777777" w:rsidR="00187695" w:rsidRPr="00187695" w:rsidRDefault="00187695" w:rsidP="006E69D2">
            <w:pPr>
              <w:jc w:val="both"/>
              <w:rPr>
                <w:rFonts w:ascii="Footlight MT Light" w:eastAsia="Aptos" w:hAnsi="Footlight MT Light" w:cs="Times New Roman"/>
                <w:b/>
                <w:bCs/>
                <w:lang w:eastAsia="en-US"/>
              </w:rPr>
            </w:pPr>
          </w:p>
          <w:p w14:paraId="0823537E" w14:textId="77777777" w:rsidR="00187695" w:rsidRPr="00187695" w:rsidRDefault="00187695" w:rsidP="006E69D2">
            <w:pPr>
              <w:jc w:val="both"/>
              <w:rPr>
                <w:rFonts w:ascii="Footlight MT Light" w:eastAsia="Aptos" w:hAnsi="Footlight MT Light" w:cs="Times New Roman"/>
                <w:b/>
                <w:bCs/>
                <w:lang w:eastAsia="en-US"/>
              </w:rPr>
            </w:pPr>
          </w:p>
          <w:p w14:paraId="4E46C52A" w14:textId="77777777" w:rsidR="00187695" w:rsidRPr="00187695" w:rsidRDefault="00187695" w:rsidP="006E69D2">
            <w:pPr>
              <w:jc w:val="both"/>
              <w:rPr>
                <w:rFonts w:ascii="Footlight MT Light" w:eastAsia="Aptos" w:hAnsi="Footlight MT Light" w:cs="Times New Roman"/>
                <w:b/>
                <w:bCs/>
                <w:lang w:eastAsia="en-US"/>
              </w:rPr>
            </w:pPr>
          </w:p>
          <w:p w14:paraId="0C06C589" w14:textId="77777777" w:rsidR="00187695" w:rsidRPr="00187695" w:rsidRDefault="00187695" w:rsidP="006E69D2">
            <w:pPr>
              <w:jc w:val="both"/>
              <w:rPr>
                <w:rFonts w:ascii="Footlight MT Light" w:eastAsia="Aptos" w:hAnsi="Footlight MT Light" w:cs="Times New Roman"/>
                <w:b/>
                <w:bCs/>
                <w:lang w:eastAsia="en-US"/>
              </w:rPr>
            </w:pPr>
          </w:p>
          <w:p w14:paraId="7AD4D41C" w14:textId="77777777" w:rsidR="00187695" w:rsidRPr="00187695" w:rsidRDefault="00187695" w:rsidP="006E69D2">
            <w:pPr>
              <w:jc w:val="both"/>
              <w:rPr>
                <w:rFonts w:ascii="Footlight MT Light" w:eastAsia="Aptos" w:hAnsi="Footlight MT Light" w:cs="Times New Roman"/>
                <w:b/>
                <w:bCs/>
                <w:lang w:eastAsia="en-US"/>
              </w:rPr>
            </w:pPr>
          </w:p>
          <w:p w14:paraId="51DA30FB" w14:textId="77777777" w:rsidR="00187695" w:rsidRPr="00187695" w:rsidRDefault="00187695" w:rsidP="006E69D2">
            <w:pPr>
              <w:jc w:val="both"/>
              <w:rPr>
                <w:rFonts w:ascii="Footlight MT Light" w:eastAsia="Aptos" w:hAnsi="Footlight MT Light" w:cs="Times New Roman"/>
                <w:b/>
                <w:bCs/>
                <w:lang w:eastAsia="en-US"/>
              </w:rPr>
            </w:pPr>
          </w:p>
          <w:p w14:paraId="3A95DBEF" w14:textId="77777777" w:rsidR="00187695" w:rsidRPr="00187695" w:rsidRDefault="00187695" w:rsidP="006E69D2">
            <w:pPr>
              <w:jc w:val="both"/>
              <w:rPr>
                <w:rFonts w:ascii="Footlight MT Light" w:eastAsia="Aptos" w:hAnsi="Footlight MT Light" w:cs="Times New Roman"/>
                <w:b/>
                <w:bCs/>
                <w:lang w:eastAsia="en-US"/>
              </w:rPr>
            </w:pPr>
          </w:p>
          <w:p w14:paraId="222335FE" w14:textId="77777777" w:rsidR="00187695" w:rsidRPr="00187695" w:rsidRDefault="00187695" w:rsidP="006E69D2">
            <w:pPr>
              <w:jc w:val="both"/>
              <w:rPr>
                <w:rFonts w:ascii="Footlight MT Light" w:eastAsia="Aptos" w:hAnsi="Footlight MT Light" w:cs="Times New Roman"/>
                <w:b/>
                <w:bCs/>
                <w:lang w:eastAsia="en-US"/>
              </w:rPr>
            </w:pPr>
          </w:p>
          <w:p w14:paraId="3BDB26C4"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 xml:space="preserve">Host Communities Development Trust / Host </w:t>
            </w:r>
            <w:r w:rsidRPr="00187695">
              <w:rPr>
                <w:rFonts w:ascii="Footlight MT Light" w:eastAsia="Aptos" w:hAnsi="Footlight MT Light" w:cs="Times New Roman"/>
                <w:b/>
                <w:bCs/>
                <w:lang w:eastAsia="en-US"/>
              </w:rPr>
              <w:lastRenderedPageBreak/>
              <w:t>Communities Trust Fund</w:t>
            </w:r>
          </w:p>
        </w:tc>
        <w:tc>
          <w:tcPr>
            <w:tcW w:w="1074" w:type="pct"/>
          </w:tcPr>
          <w:p w14:paraId="616B10B5"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lastRenderedPageBreak/>
              <w:t>Provide list or links to database of Host Communities’ Development Trusts</w:t>
            </w:r>
          </w:p>
        </w:tc>
        <w:tc>
          <w:tcPr>
            <w:tcW w:w="1026" w:type="pct"/>
          </w:tcPr>
          <w:p w14:paraId="636CD1FC" w14:textId="2D0A55C9" w:rsidR="00187695" w:rsidRPr="00187695" w:rsidRDefault="00CB216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w:t>
            </w:r>
            <w:r w:rsidRPr="00AD7A6C">
              <w:rPr>
                <w:rFonts w:ascii="Footlight MT Light" w:eastAsia="Aptos" w:hAnsi="Footlight MT Light" w:cs="Times New Roman"/>
                <w:lang w:eastAsia="en-US"/>
              </w:rPr>
              <w:t xml:space="preserve">, </w:t>
            </w:r>
            <w:r w:rsidR="00187695" w:rsidRPr="00187695">
              <w:rPr>
                <w:rFonts w:ascii="Footlight MT Light" w:eastAsia="Aptos" w:hAnsi="Footlight MT Light" w:cs="Times New Roman"/>
                <w:lang w:eastAsia="en-US"/>
              </w:rPr>
              <w:t>NEITI (Oil and gas companies may be required to provide information on their respective HCDT)</w:t>
            </w:r>
          </w:p>
        </w:tc>
        <w:tc>
          <w:tcPr>
            <w:tcW w:w="835" w:type="pct"/>
          </w:tcPr>
          <w:p w14:paraId="60C08F68"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CAC</w:t>
            </w:r>
          </w:p>
        </w:tc>
        <w:tc>
          <w:tcPr>
            <w:tcW w:w="1069" w:type="pct"/>
          </w:tcPr>
          <w:p w14:paraId="564A60F9"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Data should enable IA to establish level of compliance by settlors (operators) and detail of sanctions for non-compliance in setting up the HCDT</w:t>
            </w:r>
          </w:p>
        </w:tc>
      </w:tr>
      <w:tr w:rsidR="00AD7A6C" w:rsidRPr="00AD7A6C" w14:paraId="3C443075" w14:textId="77777777" w:rsidTr="00187695">
        <w:tc>
          <w:tcPr>
            <w:tcW w:w="996" w:type="pct"/>
            <w:vMerge/>
          </w:tcPr>
          <w:p w14:paraId="369F451F"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172B7C53"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Company level / Project level contribution to the HCTF (if possible, disaggregate payments by amount due and amount paid).</w:t>
            </w:r>
          </w:p>
        </w:tc>
        <w:tc>
          <w:tcPr>
            <w:tcW w:w="1026" w:type="pct"/>
          </w:tcPr>
          <w:p w14:paraId="4141B55A" w14:textId="3DF0CC6A" w:rsidR="00187695" w:rsidRPr="00AD7A6C"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and gas companies</w:t>
            </w:r>
            <w:r w:rsidR="00CB2163" w:rsidRPr="00AD7A6C">
              <w:rPr>
                <w:rFonts w:ascii="Footlight MT Light" w:eastAsia="Aptos" w:hAnsi="Footlight MT Light" w:cs="Times New Roman"/>
                <w:lang w:eastAsia="en-US"/>
              </w:rPr>
              <w:t xml:space="preserve"> </w:t>
            </w:r>
          </w:p>
          <w:p w14:paraId="54134C08" w14:textId="19B17CBA" w:rsidR="00CB2163" w:rsidRPr="00AD7A6C" w:rsidRDefault="00CB2163" w:rsidP="006E69D2">
            <w:pPr>
              <w:jc w:val="both"/>
              <w:rPr>
                <w:rFonts w:ascii="Footlight MT Light" w:eastAsia="Aptos" w:hAnsi="Footlight MT Light" w:cs="Times New Roman"/>
                <w:lang w:eastAsia="en-US"/>
              </w:rPr>
            </w:pPr>
            <w:r w:rsidRPr="00AD7A6C">
              <w:rPr>
                <w:rFonts w:ascii="Footlight MT Light" w:eastAsia="Aptos" w:hAnsi="Footlight MT Light" w:cs="Times New Roman"/>
                <w:lang w:eastAsia="en-US"/>
              </w:rPr>
              <w:t xml:space="preserve">(preferably). NEITI </w:t>
            </w:r>
          </w:p>
          <w:p w14:paraId="7A4D2942" w14:textId="64DD5A3E" w:rsidR="007860AF" w:rsidRPr="00187695" w:rsidRDefault="007860AF" w:rsidP="006E69D2">
            <w:pPr>
              <w:jc w:val="both"/>
              <w:rPr>
                <w:rFonts w:ascii="Footlight MT Light" w:eastAsia="Aptos" w:hAnsi="Footlight MT Light" w:cs="Times New Roman"/>
                <w:lang w:eastAsia="en-US"/>
              </w:rPr>
            </w:pPr>
          </w:p>
        </w:tc>
        <w:tc>
          <w:tcPr>
            <w:tcW w:w="835" w:type="pct"/>
          </w:tcPr>
          <w:p w14:paraId="7D34B026"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Host Communities Development Trust, FIRS</w:t>
            </w:r>
          </w:p>
        </w:tc>
        <w:tc>
          <w:tcPr>
            <w:tcW w:w="1069" w:type="pct"/>
          </w:tcPr>
          <w:p w14:paraId="6956A6A6"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Assess status of implementation including provisions on host community liability (Section 257(2) of the Petroleum Industry stipulates that </w:t>
            </w:r>
            <w:r w:rsidRPr="00187695">
              <w:rPr>
                <w:rFonts w:ascii="Footlight MT Light" w:eastAsia="Aptos" w:hAnsi="Footlight MT Light" w:cs="Times New Roman"/>
                <w:lang w:eastAsia="en-US"/>
              </w:rPr>
              <w:lastRenderedPageBreak/>
              <w:t>communities within which damage to oil facilities occur shall forfeit contributions equivalent to cost of repairs and remediation).</w:t>
            </w:r>
          </w:p>
        </w:tc>
      </w:tr>
      <w:tr w:rsidR="00AD7A6C" w:rsidRPr="00AD7A6C" w14:paraId="12778ABE" w14:textId="77777777" w:rsidTr="00187695">
        <w:tc>
          <w:tcPr>
            <w:tcW w:w="996" w:type="pct"/>
            <w:vMerge/>
          </w:tcPr>
          <w:p w14:paraId="1F03BF8A" w14:textId="77777777" w:rsidR="00CB2163" w:rsidRPr="00187695" w:rsidRDefault="00CB2163" w:rsidP="006E69D2">
            <w:pPr>
              <w:jc w:val="both"/>
              <w:rPr>
                <w:rFonts w:ascii="Footlight MT Light" w:eastAsia="Aptos" w:hAnsi="Footlight MT Light" w:cs="Times New Roman"/>
                <w:lang w:eastAsia="en-US"/>
              </w:rPr>
            </w:pPr>
          </w:p>
        </w:tc>
        <w:tc>
          <w:tcPr>
            <w:tcW w:w="1074" w:type="pct"/>
          </w:tcPr>
          <w:p w14:paraId="6DD7CC19" w14:textId="490A9C0C" w:rsidR="00CB2163" w:rsidRPr="00187695" w:rsidRDefault="00CB216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Company level/ project level operating expenditure</w:t>
            </w:r>
            <w:r w:rsidRPr="00AD7A6C">
              <w:rPr>
                <w:rFonts w:ascii="Footlight MT Light" w:eastAsia="Aptos" w:hAnsi="Footlight MT Light" w:cs="Times New Roman"/>
                <w:lang w:eastAsia="en-US"/>
              </w:rPr>
              <w:t>s</w:t>
            </w:r>
            <w:r w:rsidRPr="00187695">
              <w:rPr>
                <w:rFonts w:ascii="Footlight MT Light" w:eastAsia="Aptos" w:hAnsi="Footlight MT Light" w:cs="Times New Roman"/>
                <w:lang w:eastAsia="en-US"/>
              </w:rPr>
              <w:t xml:space="preserve"> (actual)</w:t>
            </w:r>
          </w:p>
        </w:tc>
        <w:tc>
          <w:tcPr>
            <w:tcW w:w="1026" w:type="pct"/>
          </w:tcPr>
          <w:p w14:paraId="0701B9B4" w14:textId="77777777" w:rsidR="00CB2163" w:rsidRPr="00AD7A6C" w:rsidRDefault="00CB216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and gas companies</w:t>
            </w:r>
            <w:r w:rsidRPr="00AD7A6C">
              <w:rPr>
                <w:rFonts w:ascii="Footlight MT Light" w:eastAsia="Aptos" w:hAnsi="Footlight MT Light" w:cs="Times New Roman"/>
                <w:lang w:eastAsia="en-US"/>
              </w:rPr>
              <w:t xml:space="preserve"> </w:t>
            </w:r>
          </w:p>
          <w:p w14:paraId="683DE1DD" w14:textId="77777777" w:rsidR="00CB2163" w:rsidRPr="00AD7A6C" w:rsidRDefault="00CB2163" w:rsidP="006E69D2">
            <w:pPr>
              <w:jc w:val="both"/>
              <w:rPr>
                <w:rFonts w:ascii="Footlight MT Light" w:eastAsia="Aptos" w:hAnsi="Footlight MT Light" w:cs="Times New Roman"/>
                <w:lang w:eastAsia="en-US"/>
              </w:rPr>
            </w:pPr>
            <w:r w:rsidRPr="00AD7A6C">
              <w:rPr>
                <w:rFonts w:ascii="Footlight MT Light" w:eastAsia="Aptos" w:hAnsi="Footlight MT Light" w:cs="Times New Roman"/>
                <w:lang w:eastAsia="en-US"/>
              </w:rPr>
              <w:t xml:space="preserve">(preferably). NEITI </w:t>
            </w:r>
          </w:p>
          <w:p w14:paraId="0ABDD96A" w14:textId="7D7EDD6E" w:rsidR="00CB2163" w:rsidRPr="00187695" w:rsidRDefault="00CB2163" w:rsidP="006E69D2">
            <w:pPr>
              <w:jc w:val="both"/>
              <w:rPr>
                <w:rFonts w:ascii="Footlight MT Light" w:eastAsia="Aptos" w:hAnsi="Footlight MT Light" w:cs="Times New Roman"/>
                <w:lang w:eastAsia="en-US"/>
              </w:rPr>
            </w:pPr>
          </w:p>
        </w:tc>
        <w:tc>
          <w:tcPr>
            <w:tcW w:w="835" w:type="pct"/>
          </w:tcPr>
          <w:p w14:paraId="304A7493" w14:textId="77777777" w:rsidR="00CB2163" w:rsidRPr="00187695" w:rsidRDefault="00CB216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NMDPRA</w:t>
            </w:r>
          </w:p>
        </w:tc>
        <w:tc>
          <w:tcPr>
            <w:tcW w:w="1069" w:type="pct"/>
          </w:tcPr>
          <w:p w14:paraId="336706AB" w14:textId="1B33DF22" w:rsidR="00CB2163" w:rsidRPr="00187695" w:rsidRDefault="00CB216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Section 240 of the PIA states that companies shall contribute 3% operating expenditure of their operations in the applicable locality to the Host Community Fund. This data is required for </w:t>
            </w:r>
            <w:r w:rsidRPr="00AD7A6C">
              <w:rPr>
                <w:rFonts w:ascii="Footlight MT Light" w:eastAsia="Aptos" w:hAnsi="Footlight MT Light" w:cs="Times New Roman"/>
                <w:lang w:eastAsia="en-US"/>
              </w:rPr>
              <w:t>stakeholders’</w:t>
            </w:r>
            <w:r w:rsidRPr="00187695">
              <w:rPr>
                <w:rFonts w:ascii="Footlight MT Light" w:eastAsia="Aptos" w:hAnsi="Footlight MT Light" w:cs="Times New Roman"/>
                <w:lang w:eastAsia="en-US"/>
              </w:rPr>
              <w:t xml:space="preserve"> monitoring of the appropriate amounts due. (IA to further determine </w:t>
            </w:r>
            <w:r w:rsidR="00F470B2" w:rsidRPr="00AD7A6C">
              <w:rPr>
                <w:rFonts w:ascii="Footlight MT Light" w:eastAsia="Aptos" w:hAnsi="Footlight MT Light" w:cs="Times New Roman"/>
                <w:lang w:eastAsia="en-US"/>
              </w:rPr>
              <w:t>i</w:t>
            </w:r>
            <w:r w:rsidRPr="00187695">
              <w:rPr>
                <w:rFonts w:ascii="Footlight MT Light" w:eastAsia="Aptos" w:hAnsi="Footlight MT Light" w:cs="Times New Roman"/>
                <w:lang w:eastAsia="en-US"/>
              </w:rPr>
              <w:t>f appropriated accounting standards of operating cost allocation are followed by companies in allocating operating costs to their respective operations.</w:t>
            </w:r>
          </w:p>
        </w:tc>
      </w:tr>
      <w:tr w:rsidR="00AD7A6C" w:rsidRPr="00AD7A6C" w14:paraId="7B2B9307" w14:textId="77777777" w:rsidTr="00187695">
        <w:tc>
          <w:tcPr>
            <w:tcW w:w="996" w:type="pct"/>
          </w:tcPr>
          <w:p w14:paraId="0F124C7B"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Midstream and Downstream Gas Infrastructure Fund</w:t>
            </w:r>
          </w:p>
        </w:tc>
        <w:tc>
          <w:tcPr>
            <w:tcW w:w="1074" w:type="pct"/>
          </w:tcPr>
          <w:p w14:paraId="4C0CB9AA"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Daily/monthly flows into the MDGIF</w:t>
            </w:r>
          </w:p>
        </w:tc>
        <w:tc>
          <w:tcPr>
            <w:tcW w:w="1026" w:type="pct"/>
          </w:tcPr>
          <w:p w14:paraId="1F3B8454"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NMDPRA</w:t>
            </w:r>
          </w:p>
        </w:tc>
        <w:tc>
          <w:tcPr>
            <w:tcW w:w="835" w:type="pct"/>
          </w:tcPr>
          <w:p w14:paraId="49504EA0"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28E52E3D" w14:textId="77777777" w:rsidR="00187695" w:rsidRPr="00A36F10" w:rsidRDefault="00187695" w:rsidP="006E69D2">
            <w:pPr>
              <w:jc w:val="both"/>
              <w:rPr>
                <w:rFonts w:ascii="Footlight MT Light" w:eastAsia="Aptos" w:hAnsi="Footlight MT Light" w:cs="Times New Roman"/>
                <w:lang w:eastAsia="en-US"/>
              </w:rPr>
            </w:pPr>
            <w:r w:rsidRPr="00A36F10">
              <w:rPr>
                <w:rFonts w:ascii="Footlight MT Light" w:eastAsia="Aptos" w:hAnsi="Footlight MT Light" w:cs="Times New Roman"/>
                <w:lang w:eastAsia="en-US"/>
              </w:rPr>
              <w:t>It would appear that companies making these payments are not covered entities. However, it is necessary for NEITI to provide transparency of monies in the Fund.</w:t>
            </w:r>
          </w:p>
        </w:tc>
      </w:tr>
      <w:tr w:rsidR="00AD7A6C" w:rsidRPr="00AD7A6C" w14:paraId="30661326" w14:textId="77777777" w:rsidTr="00187695">
        <w:tc>
          <w:tcPr>
            <w:tcW w:w="996" w:type="pct"/>
            <w:vMerge w:val="restart"/>
          </w:tcPr>
          <w:p w14:paraId="51B46E93" w14:textId="77777777" w:rsidR="00187695" w:rsidRPr="00187695" w:rsidRDefault="00187695" w:rsidP="006E69D2">
            <w:pPr>
              <w:jc w:val="both"/>
              <w:rPr>
                <w:rFonts w:ascii="Footlight MT Light" w:eastAsia="Aptos" w:hAnsi="Footlight MT Light" w:cs="Times New Roman"/>
                <w:b/>
                <w:bCs/>
                <w:lang w:eastAsia="en-US"/>
              </w:rPr>
            </w:pPr>
          </w:p>
          <w:p w14:paraId="1202E123" w14:textId="77777777" w:rsidR="00187695" w:rsidRPr="00187695" w:rsidRDefault="00187695" w:rsidP="006E69D2">
            <w:pPr>
              <w:jc w:val="both"/>
              <w:rPr>
                <w:rFonts w:ascii="Footlight MT Light" w:eastAsia="Aptos" w:hAnsi="Footlight MT Light" w:cs="Times New Roman"/>
                <w:b/>
                <w:bCs/>
                <w:lang w:eastAsia="en-US"/>
              </w:rPr>
            </w:pPr>
          </w:p>
          <w:p w14:paraId="1383A621" w14:textId="77777777" w:rsidR="00187695" w:rsidRPr="00187695" w:rsidRDefault="00187695" w:rsidP="006E69D2">
            <w:pPr>
              <w:jc w:val="both"/>
              <w:rPr>
                <w:rFonts w:ascii="Footlight MT Light" w:eastAsia="Aptos" w:hAnsi="Footlight MT Light" w:cs="Times New Roman"/>
                <w:b/>
                <w:bCs/>
                <w:lang w:eastAsia="en-US"/>
              </w:rPr>
            </w:pPr>
          </w:p>
          <w:p w14:paraId="3C88EC1F" w14:textId="77777777" w:rsidR="00187695" w:rsidRPr="00187695" w:rsidRDefault="00187695" w:rsidP="006E69D2">
            <w:pPr>
              <w:jc w:val="both"/>
              <w:rPr>
                <w:rFonts w:ascii="Footlight MT Light" w:eastAsia="Aptos" w:hAnsi="Footlight MT Light" w:cs="Times New Roman"/>
                <w:b/>
                <w:bCs/>
                <w:lang w:eastAsia="en-US"/>
              </w:rPr>
            </w:pPr>
          </w:p>
          <w:p w14:paraId="6BD73A93" w14:textId="77777777" w:rsidR="00187695" w:rsidRPr="00187695" w:rsidRDefault="00187695" w:rsidP="006E69D2">
            <w:pPr>
              <w:jc w:val="both"/>
              <w:rPr>
                <w:rFonts w:ascii="Footlight MT Light" w:eastAsia="Aptos" w:hAnsi="Footlight MT Light" w:cs="Times New Roman"/>
                <w:b/>
                <w:bCs/>
                <w:lang w:eastAsia="en-US"/>
              </w:rPr>
            </w:pPr>
          </w:p>
          <w:p w14:paraId="3AEF0706" w14:textId="77777777" w:rsidR="00187695" w:rsidRPr="00187695" w:rsidRDefault="00187695" w:rsidP="006E69D2">
            <w:pPr>
              <w:jc w:val="both"/>
              <w:rPr>
                <w:rFonts w:ascii="Footlight MT Light" w:eastAsia="Aptos" w:hAnsi="Footlight MT Light" w:cs="Times New Roman"/>
                <w:b/>
                <w:bCs/>
                <w:lang w:eastAsia="en-US"/>
              </w:rPr>
            </w:pPr>
          </w:p>
          <w:p w14:paraId="7EED4120" w14:textId="77777777" w:rsidR="00187695" w:rsidRPr="00187695" w:rsidRDefault="00187695" w:rsidP="006E69D2">
            <w:pPr>
              <w:jc w:val="both"/>
              <w:rPr>
                <w:rFonts w:ascii="Footlight MT Light" w:eastAsia="Aptos" w:hAnsi="Footlight MT Light" w:cs="Times New Roman"/>
                <w:b/>
                <w:bCs/>
                <w:lang w:eastAsia="en-US"/>
              </w:rPr>
            </w:pPr>
          </w:p>
          <w:p w14:paraId="6EE8618F" w14:textId="77777777" w:rsidR="00187695" w:rsidRPr="00187695" w:rsidRDefault="00187695" w:rsidP="006E69D2">
            <w:pPr>
              <w:jc w:val="both"/>
              <w:rPr>
                <w:rFonts w:ascii="Footlight MT Light" w:eastAsia="Aptos" w:hAnsi="Footlight MT Light" w:cs="Times New Roman"/>
                <w:b/>
                <w:bCs/>
                <w:lang w:eastAsia="en-US"/>
              </w:rPr>
            </w:pPr>
          </w:p>
          <w:p w14:paraId="63F38B61"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Environmental Remediation Fund</w:t>
            </w:r>
          </w:p>
        </w:tc>
        <w:tc>
          <w:tcPr>
            <w:tcW w:w="1074" w:type="pct"/>
          </w:tcPr>
          <w:p w14:paraId="1136FFC1"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lastRenderedPageBreak/>
              <w:t>Company/project level payments to the Environmental Remediation Fund</w:t>
            </w:r>
          </w:p>
        </w:tc>
        <w:tc>
          <w:tcPr>
            <w:tcW w:w="1026" w:type="pct"/>
          </w:tcPr>
          <w:p w14:paraId="05FE37BA" w14:textId="6820167E"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and gas and SM companies</w:t>
            </w:r>
            <w:r w:rsidR="00CB2163" w:rsidRPr="00AD7A6C">
              <w:rPr>
                <w:rFonts w:ascii="Footlight MT Light" w:eastAsia="Aptos" w:hAnsi="Footlight MT Light" w:cs="Times New Roman"/>
                <w:lang w:eastAsia="en-US"/>
              </w:rPr>
              <w:t xml:space="preserve"> preferably. MMSD, NEITI</w:t>
            </w:r>
          </w:p>
        </w:tc>
        <w:tc>
          <w:tcPr>
            <w:tcW w:w="835" w:type="pct"/>
          </w:tcPr>
          <w:p w14:paraId="04AC9F49"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MMSD</w:t>
            </w:r>
          </w:p>
        </w:tc>
        <w:tc>
          <w:tcPr>
            <w:tcW w:w="1069" w:type="pct"/>
          </w:tcPr>
          <w:p w14:paraId="6D675649"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Reconciliation to show if companies are making the prescribed payments according to the </w:t>
            </w:r>
            <w:r w:rsidRPr="00187695">
              <w:rPr>
                <w:rFonts w:ascii="Footlight MT Light" w:eastAsia="Aptos" w:hAnsi="Footlight MT Light" w:cs="Times New Roman"/>
                <w:lang w:eastAsia="en-US"/>
              </w:rPr>
              <w:lastRenderedPageBreak/>
              <w:t>law/ relevant regulation.</w:t>
            </w:r>
          </w:p>
        </w:tc>
      </w:tr>
      <w:tr w:rsidR="00AD7A6C" w:rsidRPr="00AD7A6C" w14:paraId="6CC94608" w14:textId="77777777" w:rsidTr="005638F8">
        <w:trPr>
          <w:trHeight w:val="2280"/>
        </w:trPr>
        <w:tc>
          <w:tcPr>
            <w:tcW w:w="996" w:type="pct"/>
            <w:vMerge/>
          </w:tcPr>
          <w:p w14:paraId="56F9708B"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3A5F793C"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Disclose project cost and projected volume of operations</w:t>
            </w:r>
          </w:p>
        </w:tc>
        <w:tc>
          <w:tcPr>
            <w:tcW w:w="1026" w:type="pct"/>
          </w:tcPr>
          <w:p w14:paraId="7BBACC7C" w14:textId="518D9E44"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and gas and SM companies making contributions to the ERF</w:t>
            </w:r>
            <w:r w:rsidR="00CB2163" w:rsidRPr="00AD7A6C">
              <w:rPr>
                <w:rFonts w:ascii="Footlight MT Light" w:eastAsia="Aptos" w:hAnsi="Footlight MT Light" w:cs="Times New Roman"/>
                <w:lang w:eastAsia="en-US"/>
              </w:rPr>
              <w:t xml:space="preserve"> preferably. MMSD, NEITI</w:t>
            </w:r>
          </w:p>
        </w:tc>
        <w:tc>
          <w:tcPr>
            <w:tcW w:w="835" w:type="pct"/>
          </w:tcPr>
          <w:p w14:paraId="48439B25"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MMSD</w:t>
            </w:r>
          </w:p>
        </w:tc>
        <w:tc>
          <w:tcPr>
            <w:tcW w:w="1069" w:type="pct"/>
          </w:tcPr>
          <w:p w14:paraId="64A3BC12"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Section 103(2) stipulates that the amount to be paid by a company shall depend on:</w:t>
            </w:r>
          </w:p>
          <w:p w14:paraId="7872F260" w14:textId="0DAC234B" w:rsidR="00187695" w:rsidRPr="00187695" w:rsidRDefault="00187695" w:rsidP="006E69D2">
            <w:pPr>
              <w:numPr>
                <w:ilvl w:val="0"/>
                <w:numId w:val="11"/>
              </w:numPr>
              <w:ind w:left="330" w:hanging="30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Size of operations; and</w:t>
            </w:r>
            <w:r w:rsidR="007860AF" w:rsidRPr="00AD7A6C">
              <w:rPr>
                <w:rFonts w:ascii="Footlight MT Light" w:eastAsia="Aptos" w:hAnsi="Footlight MT Light" w:cs="Times New Roman"/>
                <w:lang w:eastAsia="en-US"/>
              </w:rPr>
              <w:t xml:space="preserve"> the level of environmental risk that may exist.</w:t>
            </w:r>
          </w:p>
        </w:tc>
      </w:tr>
      <w:tr w:rsidR="00AD7A6C" w:rsidRPr="00AD7A6C" w14:paraId="4F94FF3B" w14:textId="77777777" w:rsidTr="00187695">
        <w:tc>
          <w:tcPr>
            <w:tcW w:w="996" w:type="pct"/>
            <w:vMerge/>
          </w:tcPr>
          <w:p w14:paraId="0090962C"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45DDD3CD"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Provide links to companies’ environmental Impact reports</w:t>
            </w:r>
          </w:p>
        </w:tc>
        <w:tc>
          <w:tcPr>
            <w:tcW w:w="1026" w:type="pct"/>
          </w:tcPr>
          <w:p w14:paraId="6A1333B1" w14:textId="38339B7D"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and gas and SM companies making contributions to the ERF</w:t>
            </w:r>
            <w:r w:rsidR="00CB2163" w:rsidRPr="00AD7A6C">
              <w:rPr>
                <w:rFonts w:ascii="Footlight MT Light" w:eastAsia="Aptos" w:hAnsi="Footlight MT Light" w:cs="Times New Roman"/>
                <w:lang w:eastAsia="en-US"/>
              </w:rPr>
              <w:t xml:space="preserve"> preferably. MMSD, NEITI</w:t>
            </w:r>
          </w:p>
        </w:tc>
        <w:tc>
          <w:tcPr>
            <w:tcW w:w="835" w:type="pct"/>
          </w:tcPr>
          <w:p w14:paraId="7DB2F8E5"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MMSD</w:t>
            </w:r>
          </w:p>
        </w:tc>
        <w:tc>
          <w:tcPr>
            <w:tcW w:w="1069" w:type="pct"/>
          </w:tcPr>
          <w:p w14:paraId="56036319"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Section 103(2) stipulates that environmental remediation payment should also depend on:</w:t>
            </w:r>
          </w:p>
          <w:p w14:paraId="5AFDA44D" w14:textId="77777777" w:rsidR="00187695" w:rsidRPr="00187695" w:rsidRDefault="00187695" w:rsidP="006E69D2">
            <w:pPr>
              <w:numPr>
                <w:ilvl w:val="0"/>
                <w:numId w:val="11"/>
              </w:numPr>
              <w:ind w:left="240" w:hanging="24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Level of environmental risk associated with the project</w:t>
            </w:r>
          </w:p>
        </w:tc>
      </w:tr>
      <w:tr w:rsidR="00AD7A6C" w:rsidRPr="00AD7A6C" w14:paraId="12CE8AED" w14:textId="77777777" w:rsidTr="00187695">
        <w:tc>
          <w:tcPr>
            <w:tcW w:w="996" w:type="pct"/>
          </w:tcPr>
          <w:p w14:paraId="22104B6F"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662AA25C" w14:textId="0D30A958"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Provide analysis of total environmental expenditure as a percentage of (i) total company expenditure (ii) </w:t>
            </w:r>
            <w:r w:rsidR="004977CD" w:rsidRPr="00AD7A6C">
              <w:rPr>
                <w:rFonts w:ascii="Footlight MT Light" w:eastAsia="Aptos" w:hAnsi="Footlight MT Light" w:cs="Times New Roman"/>
                <w:lang w:eastAsia="en-US"/>
              </w:rPr>
              <w:t xml:space="preserve">company </w:t>
            </w:r>
            <w:r w:rsidRPr="00187695">
              <w:rPr>
                <w:rFonts w:ascii="Footlight MT Light" w:eastAsia="Aptos" w:hAnsi="Footlight MT Light" w:cs="Times New Roman"/>
                <w:lang w:eastAsia="en-US"/>
              </w:rPr>
              <w:t>total profit</w:t>
            </w:r>
          </w:p>
        </w:tc>
        <w:tc>
          <w:tcPr>
            <w:tcW w:w="1026" w:type="pct"/>
          </w:tcPr>
          <w:p w14:paraId="0CA396BD"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(IA)</w:t>
            </w:r>
          </w:p>
        </w:tc>
        <w:tc>
          <w:tcPr>
            <w:tcW w:w="835" w:type="pct"/>
          </w:tcPr>
          <w:p w14:paraId="7ADA990A"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2F2E004E" w14:textId="77777777" w:rsidR="00187695" w:rsidRPr="00A36F10" w:rsidRDefault="00187695" w:rsidP="006E69D2">
            <w:pPr>
              <w:jc w:val="both"/>
              <w:rPr>
                <w:rFonts w:ascii="Footlight MT Light" w:eastAsia="Aptos" w:hAnsi="Footlight MT Light" w:cs="Times New Roman"/>
                <w:lang w:eastAsia="en-US"/>
              </w:rPr>
            </w:pPr>
            <w:r w:rsidRPr="00A36F10">
              <w:rPr>
                <w:rFonts w:ascii="Footlight MT Light" w:eastAsia="Aptos" w:hAnsi="Footlight MT Light" w:cs="Times New Roman"/>
                <w:lang w:eastAsia="en-US"/>
              </w:rPr>
              <w:t>This would also serve as an outcome indicator for future EITI progress reporting.</w:t>
            </w:r>
          </w:p>
        </w:tc>
      </w:tr>
      <w:tr w:rsidR="00AD7A6C" w:rsidRPr="00AD7A6C" w14:paraId="7BD000DA" w14:textId="77777777" w:rsidTr="00187695">
        <w:tc>
          <w:tcPr>
            <w:tcW w:w="996" w:type="pct"/>
            <w:vMerge w:val="restart"/>
          </w:tcPr>
          <w:p w14:paraId="18B470BB" w14:textId="77777777" w:rsidR="00187695" w:rsidRPr="00187695" w:rsidRDefault="00187695" w:rsidP="006E69D2">
            <w:pPr>
              <w:jc w:val="both"/>
              <w:rPr>
                <w:rFonts w:ascii="Footlight MT Light" w:eastAsia="Aptos" w:hAnsi="Footlight MT Light" w:cs="Times New Roman"/>
                <w:b/>
                <w:bCs/>
                <w:lang w:eastAsia="en-US"/>
              </w:rPr>
            </w:pPr>
          </w:p>
          <w:p w14:paraId="5D55661C" w14:textId="77777777" w:rsidR="00187695" w:rsidRPr="00187695" w:rsidRDefault="00187695" w:rsidP="006E69D2">
            <w:pPr>
              <w:jc w:val="both"/>
              <w:rPr>
                <w:rFonts w:ascii="Footlight MT Light" w:eastAsia="Aptos" w:hAnsi="Footlight MT Light" w:cs="Times New Roman"/>
                <w:b/>
                <w:bCs/>
                <w:lang w:eastAsia="en-US"/>
              </w:rPr>
            </w:pPr>
          </w:p>
          <w:p w14:paraId="303B3882" w14:textId="77777777" w:rsidR="00187695" w:rsidRPr="00187695" w:rsidRDefault="00187695" w:rsidP="006E69D2">
            <w:pPr>
              <w:jc w:val="both"/>
              <w:rPr>
                <w:rFonts w:ascii="Footlight MT Light" w:eastAsia="Aptos" w:hAnsi="Footlight MT Light" w:cs="Times New Roman"/>
                <w:b/>
                <w:bCs/>
                <w:lang w:eastAsia="en-US"/>
              </w:rPr>
            </w:pPr>
          </w:p>
          <w:p w14:paraId="6AF3A220" w14:textId="77777777" w:rsidR="00187695" w:rsidRPr="00187695" w:rsidRDefault="00187695" w:rsidP="006E69D2">
            <w:pPr>
              <w:jc w:val="both"/>
              <w:rPr>
                <w:rFonts w:ascii="Footlight MT Light" w:eastAsia="Aptos" w:hAnsi="Footlight MT Light" w:cs="Times New Roman"/>
                <w:b/>
                <w:bCs/>
                <w:lang w:eastAsia="en-US"/>
              </w:rPr>
            </w:pPr>
          </w:p>
          <w:p w14:paraId="1F9F89BB" w14:textId="77777777" w:rsidR="00187695" w:rsidRPr="00187695" w:rsidRDefault="00187695" w:rsidP="006E69D2">
            <w:pPr>
              <w:jc w:val="both"/>
              <w:rPr>
                <w:rFonts w:ascii="Footlight MT Light" w:eastAsia="Aptos" w:hAnsi="Footlight MT Light" w:cs="Times New Roman"/>
                <w:b/>
                <w:bCs/>
                <w:lang w:eastAsia="en-US"/>
              </w:rPr>
            </w:pPr>
          </w:p>
          <w:p w14:paraId="4673982F" w14:textId="77777777" w:rsidR="00187695" w:rsidRPr="00187695" w:rsidRDefault="00187695" w:rsidP="006E69D2">
            <w:pPr>
              <w:jc w:val="both"/>
              <w:rPr>
                <w:rFonts w:ascii="Footlight MT Light" w:eastAsia="Aptos" w:hAnsi="Footlight MT Light" w:cs="Times New Roman"/>
                <w:b/>
                <w:bCs/>
                <w:lang w:eastAsia="en-US"/>
              </w:rPr>
            </w:pPr>
          </w:p>
          <w:p w14:paraId="5BA22754" w14:textId="77777777" w:rsidR="00187695" w:rsidRPr="00187695" w:rsidRDefault="00187695" w:rsidP="006E69D2">
            <w:pPr>
              <w:jc w:val="both"/>
              <w:rPr>
                <w:rFonts w:ascii="Footlight MT Light" w:eastAsia="Aptos" w:hAnsi="Footlight MT Light" w:cs="Times New Roman"/>
                <w:b/>
                <w:bCs/>
                <w:lang w:eastAsia="en-US"/>
              </w:rPr>
            </w:pPr>
          </w:p>
          <w:p w14:paraId="76CB9CB3" w14:textId="77777777" w:rsidR="00187695" w:rsidRPr="00187695" w:rsidRDefault="00187695" w:rsidP="006E69D2">
            <w:pPr>
              <w:jc w:val="both"/>
              <w:rPr>
                <w:rFonts w:ascii="Footlight MT Light" w:eastAsia="Aptos" w:hAnsi="Footlight MT Light" w:cs="Times New Roman"/>
                <w:b/>
                <w:bCs/>
                <w:lang w:eastAsia="en-US"/>
              </w:rPr>
            </w:pPr>
          </w:p>
          <w:p w14:paraId="7C478166"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Decommissioning and Abandonment Fund</w:t>
            </w:r>
          </w:p>
        </w:tc>
        <w:tc>
          <w:tcPr>
            <w:tcW w:w="1074" w:type="pct"/>
          </w:tcPr>
          <w:p w14:paraId="5E3C285A"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Company-level / project level payments into the D&amp;A fund</w:t>
            </w:r>
          </w:p>
        </w:tc>
        <w:tc>
          <w:tcPr>
            <w:tcW w:w="1026" w:type="pct"/>
          </w:tcPr>
          <w:p w14:paraId="44E5001A" w14:textId="1B21AA18"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Upstream companies, NMDPRA</w:t>
            </w:r>
            <w:r w:rsidR="00CB2163" w:rsidRPr="00AD7A6C">
              <w:rPr>
                <w:rFonts w:ascii="Footlight MT Light" w:eastAsia="Aptos" w:hAnsi="Footlight MT Light" w:cs="Times New Roman"/>
                <w:lang w:eastAsia="en-US"/>
              </w:rPr>
              <w:t xml:space="preserve">. </w:t>
            </w:r>
          </w:p>
        </w:tc>
        <w:tc>
          <w:tcPr>
            <w:tcW w:w="835" w:type="pct"/>
          </w:tcPr>
          <w:p w14:paraId="2041C581"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NUPRC (for upstream companies); (CBN D&amp;A escrow account)</w:t>
            </w:r>
          </w:p>
        </w:tc>
        <w:tc>
          <w:tcPr>
            <w:tcW w:w="1069" w:type="pct"/>
          </w:tcPr>
          <w:p w14:paraId="1642BA76" w14:textId="0D0E58AE"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As companies in the midstream and downstream are not covered entities, </w:t>
            </w:r>
            <w:r w:rsidR="004977CD" w:rsidRPr="00AD7A6C">
              <w:rPr>
                <w:rFonts w:ascii="Footlight MT Light" w:eastAsia="Aptos" w:hAnsi="Footlight MT Light" w:cs="Times New Roman"/>
                <w:lang w:eastAsia="en-US"/>
              </w:rPr>
              <w:t xml:space="preserve">NEITI should encourage </w:t>
            </w:r>
            <w:r w:rsidRPr="00187695">
              <w:rPr>
                <w:rFonts w:ascii="Footlight MT Light" w:eastAsia="Aptos" w:hAnsi="Footlight MT Light" w:cs="Times New Roman"/>
                <w:lang w:eastAsia="en-US"/>
              </w:rPr>
              <w:t>NMDPRA to make unilateral disclosure</w:t>
            </w:r>
            <w:r w:rsidR="004977CD" w:rsidRPr="00AD7A6C">
              <w:rPr>
                <w:rFonts w:ascii="Footlight MT Light" w:eastAsia="Aptos" w:hAnsi="Footlight MT Light" w:cs="Times New Roman"/>
                <w:lang w:eastAsia="en-US"/>
              </w:rPr>
              <w:t>s</w:t>
            </w:r>
            <w:r w:rsidRPr="00187695">
              <w:rPr>
                <w:rFonts w:ascii="Footlight MT Light" w:eastAsia="Aptos" w:hAnsi="Footlight MT Light" w:cs="Times New Roman"/>
                <w:lang w:eastAsia="en-US"/>
              </w:rPr>
              <w:t xml:space="preserve"> for purpose of transparency of the fund.</w:t>
            </w:r>
          </w:p>
          <w:p w14:paraId="18F7F71E"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to establish that the D&amp;A payments comply with the amounts set out in the D&amp;A plan approved by the Commission.)</w:t>
            </w:r>
          </w:p>
        </w:tc>
      </w:tr>
      <w:tr w:rsidR="00AD7A6C" w:rsidRPr="00AD7A6C" w14:paraId="18805DB9" w14:textId="77777777" w:rsidTr="00187695">
        <w:tc>
          <w:tcPr>
            <w:tcW w:w="996" w:type="pct"/>
            <w:vMerge/>
          </w:tcPr>
          <w:p w14:paraId="75BDABEB"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087958FA" w14:textId="20E14B7F" w:rsidR="00187695" w:rsidRPr="00187695" w:rsidRDefault="00CB2163" w:rsidP="006E69D2">
            <w:pPr>
              <w:jc w:val="both"/>
              <w:rPr>
                <w:rFonts w:ascii="Footlight MT Light" w:eastAsia="Aptos" w:hAnsi="Footlight MT Light" w:cs="Times New Roman"/>
                <w:lang w:eastAsia="en-US"/>
              </w:rPr>
            </w:pPr>
            <w:r w:rsidRPr="00AD7A6C">
              <w:rPr>
                <w:rFonts w:ascii="Footlight MT Light" w:eastAsia="Aptos" w:hAnsi="Footlight MT Light" w:cs="Times New Roman"/>
                <w:lang w:eastAsia="en-US"/>
              </w:rPr>
              <w:t xml:space="preserve">Data of </w:t>
            </w:r>
            <w:r w:rsidR="00187695" w:rsidRPr="00187695">
              <w:rPr>
                <w:rFonts w:ascii="Footlight MT Light" w:eastAsia="Aptos" w:hAnsi="Footlight MT Light" w:cs="Times New Roman"/>
                <w:lang w:eastAsia="en-US"/>
              </w:rPr>
              <w:t xml:space="preserve">Beneficial owners / related parties of </w:t>
            </w:r>
            <w:r w:rsidR="00187695" w:rsidRPr="00187695">
              <w:rPr>
                <w:rFonts w:ascii="Footlight MT Light" w:eastAsia="Aptos" w:hAnsi="Footlight MT Light" w:cs="Times New Roman"/>
                <w:lang w:eastAsia="en-US"/>
              </w:rPr>
              <w:lastRenderedPageBreak/>
              <w:t>companies with D&amp;A funds</w:t>
            </w:r>
          </w:p>
        </w:tc>
        <w:tc>
          <w:tcPr>
            <w:tcW w:w="1026" w:type="pct"/>
          </w:tcPr>
          <w:p w14:paraId="32571303"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lastRenderedPageBreak/>
              <w:t>Companies with D&amp;A funds</w:t>
            </w:r>
          </w:p>
        </w:tc>
        <w:tc>
          <w:tcPr>
            <w:tcW w:w="835" w:type="pct"/>
          </w:tcPr>
          <w:p w14:paraId="518129AA" w14:textId="4200F73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CAC; FIRS (some info</w:t>
            </w:r>
            <w:r w:rsidR="004977CD" w:rsidRPr="00AD7A6C">
              <w:rPr>
                <w:rFonts w:ascii="Footlight MT Light" w:eastAsia="Aptos" w:hAnsi="Footlight MT Light" w:cs="Times New Roman"/>
                <w:lang w:eastAsia="en-US"/>
              </w:rPr>
              <w:t>rmation</w:t>
            </w:r>
            <w:r w:rsidRPr="00187695">
              <w:rPr>
                <w:rFonts w:ascii="Footlight MT Light" w:eastAsia="Aptos" w:hAnsi="Footlight MT Light" w:cs="Times New Roman"/>
                <w:lang w:eastAsia="en-US"/>
              </w:rPr>
              <w:t xml:space="preserve"> </w:t>
            </w:r>
            <w:r w:rsidRPr="00187695">
              <w:rPr>
                <w:rFonts w:ascii="Footlight MT Light" w:eastAsia="Aptos" w:hAnsi="Footlight MT Light" w:cs="Times New Roman"/>
                <w:lang w:eastAsia="en-US"/>
              </w:rPr>
              <w:lastRenderedPageBreak/>
              <w:t>may be held by their Transfer Pricing Unit)</w:t>
            </w:r>
          </w:p>
        </w:tc>
        <w:tc>
          <w:tcPr>
            <w:tcW w:w="1069" w:type="pct"/>
          </w:tcPr>
          <w:p w14:paraId="632834D9"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lastRenderedPageBreak/>
              <w:t xml:space="preserve">Section 233(1) of the PIA stipulates that the </w:t>
            </w:r>
            <w:r w:rsidRPr="00187695">
              <w:rPr>
                <w:rFonts w:ascii="Footlight MT Light" w:eastAsia="Aptos" w:hAnsi="Footlight MT Light" w:cs="Times New Roman"/>
                <w:lang w:eastAsia="en-US"/>
              </w:rPr>
              <w:lastRenderedPageBreak/>
              <w:t xml:space="preserve">decommissioning and abandonment fund established by an operator shall be held by a financial institution that is </w:t>
            </w:r>
            <w:r w:rsidRPr="00187695">
              <w:rPr>
                <w:rFonts w:ascii="Footlight MT Light" w:eastAsia="Aptos" w:hAnsi="Footlight MT Light" w:cs="Times New Roman"/>
                <w:b/>
                <w:bCs/>
                <w:lang w:eastAsia="en-US"/>
              </w:rPr>
              <w:t>not an affiliate</w:t>
            </w:r>
            <w:r w:rsidRPr="00187695">
              <w:rPr>
                <w:rFonts w:ascii="Footlight MT Light" w:eastAsia="Aptos" w:hAnsi="Footlight MT Light" w:cs="Times New Roman"/>
                <w:lang w:eastAsia="en-US"/>
              </w:rPr>
              <w:t xml:space="preserve"> of the operator.</w:t>
            </w:r>
          </w:p>
        </w:tc>
      </w:tr>
      <w:tr w:rsidR="00AD7A6C" w:rsidRPr="00AD7A6C" w14:paraId="07AC5A4A" w14:textId="77777777" w:rsidTr="00187695">
        <w:tc>
          <w:tcPr>
            <w:tcW w:w="996" w:type="pct"/>
            <w:vMerge w:val="restart"/>
          </w:tcPr>
          <w:p w14:paraId="0F984379" w14:textId="77777777" w:rsidR="004977CD" w:rsidRPr="00187695" w:rsidRDefault="004977CD" w:rsidP="006E69D2">
            <w:pPr>
              <w:jc w:val="both"/>
              <w:rPr>
                <w:rFonts w:ascii="Footlight MT Light" w:eastAsia="Aptos" w:hAnsi="Footlight MT Light" w:cs="Times New Roman"/>
                <w:b/>
                <w:bCs/>
                <w:lang w:eastAsia="en-US"/>
              </w:rPr>
            </w:pPr>
          </w:p>
          <w:p w14:paraId="5F613473" w14:textId="77777777" w:rsidR="004977CD" w:rsidRPr="00187695" w:rsidRDefault="004977CD" w:rsidP="006E69D2">
            <w:pPr>
              <w:jc w:val="both"/>
              <w:rPr>
                <w:rFonts w:ascii="Footlight MT Light" w:eastAsia="Aptos" w:hAnsi="Footlight MT Light" w:cs="Times New Roman"/>
                <w:b/>
                <w:bCs/>
                <w:lang w:eastAsia="en-US"/>
              </w:rPr>
            </w:pPr>
          </w:p>
          <w:p w14:paraId="2F260229" w14:textId="77777777" w:rsidR="004977CD" w:rsidRPr="00187695" w:rsidRDefault="004977CD" w:rsidP="006E69D2">
            <w:pPr>
              <w:jc w:val="both"/>
              <w:rPr>
                <w:rFonts w:ascii="Footlight MT Light" w:eastAsia="Aptos" w:hAnsi="Footlight MT Light" w:cs="Times New Roman"/>
                <w:b/>
                <w:bCs/>
                <w:lang w:eastAsia="en-US"/>
              </w:rPr>
            </w:pPr>
          </w:p>
          <w:p w14:paraId="602DA553" w14:textId="77777777" w:rsidR="004977CD" w:rsidRPr="00187695" w:rsidRDefault="004977CD"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Frontier Exploration Fund</w:t>
            </w:r>
          </w:p>
        </w:tc>
        <w:tc>
          <w:tcPr>
            <w:tcW w:w="1074" w:type="pct"/>
          </w:tcPr>
          <w:p w14:paraId="522C5777" w14:textId="1E6321AD" w:rsidR="004977CD" w:rsidRPr="00187695" w:rsidRDefault="004977CD"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Payments into the frontier exploration fund</w:t>
            </w:r>
            <w:r w:rsidR="00CB2163" w:rsidRPr="00AD7A6C">
              <w:rPr>
                <w:rFonts w:ascii="Footlight MT Light" w:eastAsia="Aptos" w:hAnsi="Footlight MT Light" w:cs="Times New Roman"/>
                <w:lang w:eastAsia="en-US"/>
              </w:rPr>
              <w:t xml:space="preserve"> (disaggregated)</w:t>
            </w:r>
          </w:p>
        </w:tc>
        <w:tc>
          <w:tcPr>
            <w:tcW w:w="1026" w:type="pct"/>
          </w:tcPr>
          <w:p w14:paraId="0A2442CE" w14:textId="36FF2955" w:rsidR="004977CD" w:rsidRPr="00187695" w:rsidRDefault="004977CD" w:rsidP="006E69D2">
            <w:pPr>
              <w:jc w:val="both"/>
              <w:rPr>
                <w:rFonts w:ascii="Footlight MT Light" w:eastAsia="Aptos" w:hAnsi="Footlight MT Light" w:cs="Times New Roman"/>
                <w:lang w:eastAsia="en-US"/>
              </w:rPr>
            </w:pPr>
            <w:r w:rsidRPr="00AD7A6C">
              <w:rPr>
                <w:rFonts w:ascii="Footlight MT Light" w:eastAsia="Aptos" w:hAnsi="Footlight MT Light" w:cs="Times New Roman"/>
                <w:lang w:eastAsia="en-US"/>
              </w:rPr>
              <w:t>NUPRC &amp; NNPCL</w:t>
            </w:r>
          </w:p>
        </w:tc>
        <w:tc>
          <w:tcPr>
            <w:tcW w:w="835" w:type="pct"/>
          </w:tcPr>
          <w:p w14:paraId="2C2392C2" w14:textId="77777777" w:rsidR="004977CD" w:rsidRPr="00187695" w:rsidRDefault="004977CD"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CBN (Frontier Exploration Fund escrow account)</w:t>
            </w:r>
          </w:p>
        </w:tc>
        <w:tc>
          <w:tcPr>
            <w:tcW w:w="1069" w:type="pct"/>
          </w:tcPr>
          <w:p w14:paraId="6BC1DF9C" w14:textId="36EB0D33" w:rsidR="004977CD" w:rsidRPr="00187695" w:rsidRDefault="004977CD" w:rsidP="006E69D2">
            <w:pPr>
              <w:jc w:val="both"/>
              <w:rPr>
                <w:rFonts w:ascii="Footlight MT Light" w:eastAsia="Aptos" w:hAnsi="Footlight MT Light" w:cs="Times New Roman"/>
                <w:highlight w:val="yellow"/>
                <w:lang w:eastAsia="en-US"/>
              </w:rPr>
            </w:pPr>
            <w:r w:rsidRPr="00187695">
              <w:rPr>
                <w:rFonts w:ascii="Footlight MT Light" w:eastAsia="Aptos" w:hAnsi="Footlight MT Light" w:cs="Times New Roman"/>
                <w:lang w:eastAsia="en-US"/>
              </w:rPr>
              <w:t>NUPRC (to disclose data on PPL rents, PML rents); NNPCL (to disclose data on 30% profit oil and profit gas from production sharing, profit sharing and risk service contracts)</w:t>
            </w:r>
          </w:p>
        </w:tc>
      </w:tr>
      <w:tr w:rsidR="00AD7A6C" w:rsidRPr="00AD7A6C" w14:paraId="24CD98AA" w14:textId="77777777" w:rsidTr="00187695">
        <w:tc>
          <w:tcPr>
            <w:tcW w:w="996" w:type="pct"/>
            <w:vMerge/>
          </w:tcPr>
          <w:p w14:paraId="7A106AAC"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62D9459D" w14:textId="7B9B484B"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Summary of FEF expenditure per project</w:t>
            </w:r>
            <w:r w:rsidR="00B00468" w:rsidRPr="00AD7A6C">
              <w:rPr>
                <w:rFonts w:ascii="Footlight MT Light" w:eastAsia="Aptos" w:hAnsi="Footlight MT Light" w:cs="Times New Roman"/>
                <w:lang w:eastAsia="en-US"/>
              </w:rPr>
              <w:t xml:space="preserve"> for the years under review</w:t>
            </w:r>
          </w:p>
        </w:tc>
        <w:tc>
          <w:tcPr>
            <w:tcW w:w="1026" w:type="pct"/>
          </w:tcPr>
          <w:p w14:paraId="44507F10"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NNPCL, NUPRC</w:t>
            </w:r>
          </w:p>
        </w:tc>
        <w:tc>
          <w:tcPr>
            <w:tcW w:w="835" w:type="pct"/>
          </w:tcPr>
          <w:p w14:paraId="5F275949"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Frontier exploration fund escrow account</w:t>
            </w:r>
          </w:p>
        </w:tc>
        <w:tc>
          <w:tcPr>
            <w:tcW w:w="1069" w:type="pct"/>
          </w:tcPr>
          <w:p w14:paraId="03992282" w14:textId="1B331A98" w:rsidR="00187695" w:rsidRPr="00187695" w:rsidRDefault="004977CD" w:rsidP="006E69D2">
            <w:pPr>
              <w:jc w:val="both"/>
              <w:rPr>
                <w:rFonts w:ascii="Footlight MT Light" w:eastAsia="Aptos" w:hAnsi="Footlight MT Light" w:cs="Times New Roman"/>
                <w:lang w:eastAsia="en-US"/>
              </w:rPr>
            </w:pPr>
            <w:r w:rsidRPr="00AD7A6C">
              <w:rPr>
                <w:rFonts w:ascii="Footlight MT Light" w:eastAsia="Aptos" w:hAnsi="Footlight MT Light" w:cs="Times New Roman"/>
                <w:lang w:eastAsia="en-US"/>
              </w:rPr>
              <w:t>Disclosures from NNPCL &amp; NUPRC on FEF</w:t>
            </w:r>
            <w:r w:rsidR="00B00468" w:rsidRPr="00AD7A6C">
              <w:rPr>
                <w:rFonts w:ascii="Footlight MT Light" w:eastAsia="Aptos" w:hAnsi="Footlight MT Light" w:cs="Times New Roman"/>
                <w:lang w:eastAsia="en-US"/>
              </w:rPr>
              <w:t>.</w:t>
            </w:r>
          </w:p>
        </w:tc>
      </w:tr>
      <w:tr w:rsidR="00AD7A6C" w:rsidRPr="00AD7A6C" w14:paraId="293826A2" w14:textId="77777777" w:rsidTr="00187695">
        <w:tc>
          <w:tcPr>
            <w:tcW w:w="996" w:type="pct"/>
          </w:tcPr>
          <w:p w14:paraId="7E667783"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ASM contribution to GDP</w:t>
            </w:r>
          </w:p>
        </w:tc>
        <w:tc>
          <w:tcPr>
            <w:tcW w:w="1074" w:type="pct"/>
          </w:tcPr>
          <w:p w14:paraId="3C03E0EA" w14:textId="3B47C08F" w:rsidR="00187695" w:rsidRPr="00187695" w:rsidRDefault="00187695" w:rsidP="006E69D2">
            <w:pPr>
              <w:numPr>
                <w:ilvl w:val="0"/>
                <w:numId w:val="8"/>
              </w:numPr>
              <w:ind w:left="270" w:hanging="27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Total employment</w:t>
            </w:r>
            <w:r w:rsidR="00B00468" w:rsidRPr="00AD7A6C">
              <w:rPr>
                <w:rFonts w:ascii="Footlight MT Light" w:eastAsia="Aptos" w:hAnsi="Footlight MT Light" w:cs="Times New Roman"/>
                <w:lang w:eastAsia="en-US"/>
              </w:rPr>
              <w:t xml:space="preserve"> (disaggregated) </w:t>
            </w:r>
          </w:p>
          <w:p w14:paraId="7BD84274" w14:textId="7DCCAFCB" w:rsidR="00187695" w:rsidRPr="00187695" w:rsidRDefault="00B00468" w:rsidP="006E69D2">
            <w:pPr>
              <w:numPr>
                <w:ilvl w:val="0"/>
                <w:numId w:val="8"/>
              </w:numPr>
              <w:ind w:left="270" w:hanging="270"/>
              <w:contextualSpacing/>
              <w:jc w:val="both"/>
              <w:rPr>
                <w:rFonts w:ascii="Footlight MT Light" w:eastAsia="Aptos" w:hAnsi="Footlight MT Light" w:cs="Times New Roman"/>
                <w:lang w:eastAsia="en-US"/>
              </w:rPr>
            </w:pPr>
            <w:r w:rsidRPr="00AD7A6C">
              <w:rPr>
                <w:rFonts w:ascii="Footlight MT Light" w:eastAsia="Aptos" w:hAnsi="Footlight MT Light" w:cs="Times New Roman"/>
                <w:lang w:eastAsia="en-US"/>
              </w:rPr>
              <w:t>T</w:t>
            </w:r>
            <w:r w:rsidR="00187695" w:rsidRPr="00187695">
              <w:rPr>
                <w:rFonts w:ascii="Footlight MT Light" w:eastAsia="Aptos" w:hAnsi="Footlight MT Light" w:cs="Times New Roman"/>
                <w:lang w:eastAsia="en-US"/>
              </w:rPr>
              <w:t>otal remittances</w:t>
            </w:r>
            <w:r w:rsidRPr="00AD7A6C">
              <w:rPr>
                <w:rFonts w:ascii="Footlight MT Light" w:eastAsia="Aptos" w:hAnsi="Footlight MT Light" w:cs="Times New Roman"/>
                <w:lang w:eastAsia="en-US"/>
              </w:rPr>
              <w:t xml:space="preserve"> (disaggregated by state, region etc)</w:t>
            </w:r>
          </w:p>
          <w:p w14:paraId="327A46FD" w14:textId="77777777" w:rsidR="00187695" w:rsidRPr="00187695" w:rsidRDefault="00187695" w:rsidP="006E69D2">
            <w:pPr>
              <w:numPr>
                <w:ilvl w:val="0"/>
                <w:numId w:val="8"/>
              </w:numPr>
              <w:ind w:left="270" w:hanging="27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Contribution to </w:t>
            </w:r>
            <w:r w:rsidRPr="00187695">
              <w:rPr>
                <w:rFonts w:ascii="Footlight MT Light" w:eastAsia="Aptos" w:hAnsi="Footlight MT Light" w:cs="Times New Roman"/>
                <w:b/>
                <w:bCs/>
                <w:lang w:eastAsia="en-US"/>
              </w:rPr>
              <w:t>Solid Minerals GDP</w:t>
            </w:r>
          </w:p>
        </w:tc>
        <w:tc>
          <w:tcPr>
            <w:tcW w:w="1026" w:type="pct"/>
          </w:tcPr>
          <w:p w14:paraId="180232A7"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MMSD (ASM department);</w:t>
            </w:r>
          </w:p>
          <w:p w14:paraId="275DE2DF" w14:textId="77777777" w:rsidR="00187695" w:rsidRPr="00187695" w:rsidRDefault="00187695" w:rsidP="006E69D2">
            <w:pPr>
              <w:jc w:val="both"/>
              <w:rPr>
                <w:rFonts w:ascii="Footlight MT Light" w:eastAsia="Aptos" w:hAnsi="Footlight MT Light" w:cs="Times New Roman"/>
                <w:lang w:eastAsia="en-US"/>
              </w:rPr>
            </w:pPr>
          </w:p>
          <w:p w14:paraId="57D55350"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NEITI IA Analysis (contribution to SM </w:t>
            </w:r>
            <w:r w:rsidRPr="00187695">
              <w:rPr>
                <w:rFonts w:ascii="Footlight MT Light" w:eastAsia="Aptos" w:hAnsi="Footlight MT Light" w:cs="Times New Roman"/>
                <w:b/>
                <w:bCs/>
                <w:lang w:eastAsia="en-US"/>
              </w:rPr>
              <w:t>revenue</w:t>
            </w:r>
            <w:r w:rsidRPr="00187695">
              <w:rPr>
                <w:rFonts w:ascii="Footlight MT Light" w:eastAsia="Aptos" w:hAnsi="Footlight MT Light" w:cs="Times New Roman"/>
                <w:lang w:eastAsia="en-US"/>
              </w:rPr>
              <w:t xml:space="preserve"> to be adopted where contribution to GDP cannot be determined)</w:t>
            </w:r>
          </w:p>
        </w:tc>
        <w:tc>
          <w:tcPr>
            <w:tcW w:w="835" w:type="pct"/>
          </w:tcPr>
          <w:p w14:paraId="2DE9F6C9"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03AD44E1" w14:textId="77777777" w:rsidR="00187695" w:rsidRPr="00A36F10" w:rsidRDefault="00187695" w:rsidP="006E69D2">
            <w:pPr>
              <w:jc w:val="both"/>
              <w:rPr>
                <w:rFonts w:ascii="Footlight MT Light" w:eastAsia="Aptos" w:hAnsi="Footlight MT Light" w:cs="Times New Roman"/>
                <w:lang w:eastAsia="en-US"/>
              </w:rPr>
            </w:pPr>
            <w:r w:rsidRPr="00A36F10">
              <w:rPr>
                <w:rFonts w:ascii="Footlight MT Light" w:eastAsia="Aptos" w:hAnsi="Footlight MT Light" w:cs="Times New Roman"/>
                <w:lang w:eastAsia="en-US"/>
              </w:rPr>
              <w:t>EITI validation report observed that “estimates of ASM are not found on government websites or in EITI reports”.</w:t>
            </w:r>
          </w:p>
        </w:tc>
      </w:tr>
      <w:tr w:rsidR="00AD7A6C" w:rsidRPr="00AD7A6C" w14:paraId="0BD5EBDF" w14:textId="77777777" w:rsidTr="00187695">
        <w:tc>
          <w:tcPr>
            <w:tcW w:w="996" w:type="pct"/>
            <w:vMerge w:val="restart"/>
          </w:tcPr>
          <w:p w14:paraId="6A2EE5D9" w14:textId="77777777" w:rsidR="00187695" w:rsidRPr="00187695" w:rsidRDefault="00187695" w:rsidP="006E69D2">
            <w:pPr>
              <w:jc w:val="both"/>
              <w:rPr>
                <w:rFonts w:ascii="Footlight MT Light" w:eastAsia="Aptos" w:hAnsi="Footlight MT Light" w:cs="Times New Roman"/>
                <w:b/>
                <w:bCs/>
                <w:lang w:eastAsia="en-US"/>
              </w:rPr>
            </w:pPr>
          </w:p>
          <w:p w14:paraId="24349D3C" w14:textId="77777777" w:rsidR="00187695" w:rsidRPr="00187695" w:rsidRDefault="00187695" w:rsidP="006E69D2">
            <w:pPr>
              <w:jc w:val="both"/>
              <w:rPr>
                <w:rFonts w:ascii="Footlight MT Light" w:eastAsia="Aptos" w:hAnsi="Footlight MT Light" w:cs="Times New Roman"/>
                <w:b/>
                <w:bCs/>
                <w:lang w:eastAsia="en-US"/>
              </w:rPr>
            </w:pPr>
          </w:p>
          <w:p w14:paraId="1180D3C0" w14:textId="77777777" w:rsidR="00187695" w:rsidRPr="00187695" w:rsidRDefault="00187695" w:rsidP="006E69D2">
            <w:pPr>
              <w:jc w:val="both"/>
              <w:rPr>
                <w:rFonts w:ascii="Footlight MT Light" w:eastAsia="Aptos" w:hAnsi="Footlight MT Light" w:cs="Times New Roman"/>
                <w:b/>
                <w:bCs/>
                <w:lang w:eastAsia="en-US"/>
              </w:rPr>
            </w:pPr>
          </w:p>
          <w:p w14:paraId="16483522" w14:textId="77777777" w:rsidR="00187695" w:rsidRPr="00187695" w:rsidRDefault="00187695" w:rsidP="006E69D2">
            <w:pPr>
              <w:jc w:val="both"/>
              <w:rPr>
                <w:rFonts w:ascii="Footlight MT Light" w:eastAsia="Aptos" w:hAnsi="Footlight MT Light" w:cs="Times New Roman"/>
                <w:b/>
                <w:bCs/>
                <w:lang w:eastAsia="en-US"/>
              </w:rPr>
            </w:pPr>
          </w:p>
          <w:p w14:paraId="6B2B1EA8" w14:textId="77777777" w:rsidR="00187695" w:rsidRPr="00187695" w:rsidRDefault="00187695" w:rsidP="006E69D2">
            <w:pPr>
              <w:jc w:val="both"/>
              <w:rPr>
                <w:rFonts w:ascii="Footlight MT Light" w:eastAsia="Aptos" w:hAnsi="Footlight MT Light" w:cs="Times New Roman"/>
                <w:b/>
                <w:bCs/>
                <w:lang w:eastAsia="en-US"/>
              </w:rPr>
            </w:pPr>
          </w:p>
          <w:p w14:paraId="704413E8" w14:textId="77777777" w:rsidR="00187695" w:rsidRPr="00187695" w:rsidRDefault="00187695" w:rsidP="006E69D2">
            <w:pPr>
              <w:jc w:val="both"/>
              <w:rPr>
                <w:rFonts w:ascii="Footlight MT Light" w:eastAsia="Aptos" w:hAnsi="Footlight MT Light" w:cs="Times New Roman"/>
                <w:b/>
                <w:bCs/>
                <w:lang w:eastAsia="en-US"/>
              </w:rPr>
            </w:pPr>
          </w:p>
          <w:p w14:paraId="7EBC954D" w14:textId="77777777" w:rsidR="00187695" w:rsidRPr="00187695" w:rsidRDefault="00187695" w:rsidP="006E69D2">
            <w:pPr>
              <w:jc w:val="both"/>
              <w:rPr>
                <w:rFonts w:ascii="Footlight MT Light" w:eastAsia="Aptos" w:hAnsi="Footlight MT Light" w:cs="Times New Roman"/>
                <w:b/>
                <w:bCs/>
                <w:lang w:eastAsia="en-US"/>
              </w:rPr>
            </w:pPr>
          </w:p>
          <w:p w14:paraId="23B8AC13" w14:textId="77777777" w:rsidR="00187695" w:rsidRPr="00187695" w:rsidRDefault="00187695" w:rsidP="006E69D2">
            <w:pPr>
              <w:jc w:val="both"/>
              <w:rPr>
                <w:rFonts w:ascii="Footlight MT Light" w:eastAsia="Aptos" w:hAnsi="Footlight MT Light" w:cs="Times New Roman"/>
                <w:b/>
                <w:bCs/>
                <w:lang w:eastAsia="en-US"/>
              </w:rPr>
            </w:pPr>
          </w:p>
          <w:p w14:paraId="7EAE2D8A" w14:textId="77777777" w:rsidR="00187695" w:rsidRPr="00187695" w:rsidRDefault="00187695" w:rsidP="006E69D2">
            <w:pPr>
              <w:jc w:val="both"/>
              <w:rPr>
                <w:rFonts w:ascii="Footlight MT Light" w:eastAsia="Aptos" w:hAnsi="Footlight MT Light" w:cs="Times New Roman"/>
                <w:b/>
                <w:bCs/>
                <w:lang w:eastAsia="en-US"/>
              </w:rPr>
            </w:pPr>
          </w:p>
          <w:p w14:paraId="7B1602C3"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Gender inclusion</w:t>
            </w:r>
          </w:p>
        </w:tc>
        <w:tc>
          <w:tcPr>
            <w:tcW w:w="1074" w:type="pct"/>
          </w:tcPr>
          <w:p w14:paraId="1674E7F5"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Sector employment data disaggregated by gender:</w:t>
            </w:r>
          </w:p>
          <w:p w14:paraId="1DF351E3" w14:textId="77777777" w:rsidR="00187695" w:rsidRPr="00187695" w:rsidRDefault="00187695" w:rsidP="006E69D2">
            <w:pPr>
              <w:numPr>
                <w:ilvl w:val="0"/>
                <w:numId w:val="9"/>
              </w:numPr>
              <w:ind w:left="270" w:hanging="27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For each occupational level</w:t>
            </w:r>
          </w:p>
          <w:p w14:paraId="1A992791" w14:textId="77777777" w:rsidR="00187695" w:rsidRPr="00187695" w:rsidRDefault="00187695" w:rsidP="006E69D2">
            <w:pPr>
              <w:numPr>
                <w:ilvl w:val="0"/>
                <w:numId w:val="9"/>
              </w:numPr>
              <w:ind w:left="270" w:hanging="27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For each project</w:t>
            </w:r>
          </w:p>
        </w:tc>
        <w:tc>
          <w:tcPr>
            <w:tcW w:w="1026" w:type="pct"/>
          </w:tcPr>
          <w:p w14:paraId="008F9EB3"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Industry operators</w:t>
            </w:r>
          </w:p>
        </w:tc>
        <w:tc>
          <w:tcPr>
            <w:tcW w:w="835" w:type="pct"/>
          </w:tcPr>
          <w:p w14:paraId="20C7F546"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Compare with aggregate national gender employment data (NBS, Ministry of Labour, NUPRC, NMDPRA).</w:t>
            </w:r>
          </w:p>
        </w:tc>
        <w:tc>
          <w:tcPr>
            <w:tcW w:w="1069" w:type="pct"/>
          </w:tcPr>
          <w:p w14:paraId="32193368"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Where national aggregate gender employment data for the sector is not available, provide national aggregate data on total employment for the sector (O&amp;G and SM respectively)</w:t>
            </w:r>
          </w:p>
        </w:tc>
      </w:tr>
      <w:tr w:rsidR="00AD7A6C" w:rsidRPr="00AD7A6C" w14:paraId="4135A21E" w14:textId="77777777" w:rsidTr="00187695">
        <w:tc>
          <w:tcPr>
            <w:tcW w:w="996" w:type="pct"/>
            <w:vMerge/>
          </w:tcPr>
          <w:p w14:paraId="28C685FE"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630F3767"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Social expenditure disaggregated by targeted social groups (women, youth, PLWD, etc.)</w:t>
            </w:r>
          </w:p>
        </w:tc>
        <w:tc>
          <w:tcPr>
            <w:tcW w:w="1026" w:type="pct"/>
          </w:tcPr>
          <w:p w14:paraId="59CD4F9B"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&amp; gas and SM companies</w:t>
            </w:r>
          </w:p>
        </w:tc>
        <w:tc>
          <w:tcPr>
            <w:tcW w:w="835" w:type="pct"/>
          </w:tcPr>
          <w:p w14:paraId="3473E618"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5D4EF910"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to provide ratio analysis of gender targeted project.</w:t>
            </w:r>
          </w:p>
          <w:p w14:paraId="39B5CC8E" w14:textId="77777777" w:rsidR="00187695" w:rsidRPr="00187695" w:rsidRDefault="00187695" w:rsidP="006E69D2">
            <w:pPr>
              <w:jc w:val="both"/>
              <w:rPr>
                <w:rFonts w:ascii="Footlight MT Light" w:eastAsia="Aptos" w:hAnsi="Footlight MT Light" w:cs="Times New Roman"/>
                <w:lang w:eastAsia="en-US"/>
              </w:rPr>
            </w:pPr>
          </w:p>
          <w:p w14:paraId="0E753317"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IA may also provide list of companies that made gender-targeted social </w:t>
            </w:r>
            <w:r w:rsidRPr="00187695">
              <w:rPr>
                <w:rFonts w:ascii="Footlight MT Light" w:eastAsia="Aptos" w:hAnsi="Footlight MT Light" w:cs="Times New Roman"/>
                <w:lang w:eastAsia="en-US"/>
              </w:rPr>
              <w:lastRenderedPageBreak/>
              <w:t>expenditure in 2022 and 2023.</w:t>
            </w:r>
          </w:p>
        </w:tc>
      </w:tr>
      <w:tr w:rsidR="00AD7A6C" w:rsidRPr="00AD7A6C" w14:paraId="6C8FA2F5" w14:textId="77777777" w:rsidTr="00187695">
        <w:tc>
          <w:tcPr>
            <w:tcW w:w="996" w:type="pct"/>
            <w:vMerge/>
          </w:tcPr>
          <w:p w14:paraId="41992B8B"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2C285AC0"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Provide an overview of government’s gender policy (including constitutional provisions, the national gender policy, the Child Rights Act, Violence against Persons Prohibition Act etc)</w:t>
            </w:r>
          </w:p>
        </w:tc>
        <w:tc>
          <w:tcPr>
            <w:tcW w:w="1026" w:type="pct"/>
          </w:tcPr>
          <w:p w14:paraId="232E36C4"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 NEITI Industry Reports</w:t>
            </w:r>
          </w:p>
        </w:tc>
        <w:tc>
          <w:tcPr>
            <w:tcW w:w="835" w:type="pct"/>
          </w:tcPr>
          <w:p w14:paraId="3EF7CDD4"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43A00293" w14:textId="77777777" w:rsidR="00187695" w:rsidRPr="00187695" w:rsidRDefault="00187695" w:rsidP="006E69D2">
            <w:pPr>
              <w:jc w:val="both"/>
              <w:rPr>
                <w:rFonts w:ascii="Footlight MT Light" w:eastAsia="Aptos" w:hAnsi="Footlight MT Light" w:cs="Times New Roman"/>
                <w:lang w:eastAsia="en-US"/>
              </w:rPr>
            </w:pPr>
          </w:p>
        </w:tc>
      </w:tr>
      <w:tr w:rsidR="00AD7A6C" w:rsidRPr="00AD7A6C" w14:paraId="5B73AC40" w14:textId="77777777" w:rsidTr="00187695">
        <w:tc>
          <w:tcPr>
            <w:tcW w:w="996" w:type="pct"/>
            <w:vMerge w:val="restart"/>
          </w:tcPr>
          <w:p w14:paraId="5D6B7DE0" w14:textId="77777777" w:rsidR="00187695" w:rsidRPr="00187695" w:rsidRDefault="00187695" w:rsidP="006E69D2">
            <w:pPr>
              <w:jc w:val="both"/>
              <w:rPr>
                <w:rFonts w:ascii="Footlight MT Light" w:eastAsia="Aptos" w:hAnsi="Footlight MT Light" w:cs="Times New Roman"/>
                <w:b/>
                <w:bCs/>
                <w:lang w:eastAsia="en-US"/>
              </w:rPr>
            </w:pPr>
          </w:p>
          <w:p w14:paraId="7FC8D15D" w14:textId="77777777" w:rsidR="00187695" w:rsidRPr="00187695" w:rsidRDefault="00187695" w:rsidP="006E69D2">
            <w:pPr>
              <w:jc w:val="both"/>
              <w:rPr>
                <w:rFonts w:ascii="Footlight MT Light" w:eastAsia="Aptos" w:hAnsi="Footlight MT Light" w:cs="Times New Roman"/>
                <w:b/>
                <w:bCs/>
                <w:lang w:eastAsia="en-US"/>
              </w:rPr>
            </w:pPr>
          </w:p>
          <w:p w14:paraId="5614D891" w14:textId="77777777" w:rsidR="00187695" w:rsidRPr="00187695" w:rsidRDefault="00187695" w:rsidP="006E69D2">
            <w:pPr>
              <w:jc w:val="both"/>
              <w:rPr>
                <w:rFonts w:ascii="Footlight MT Light" w:eastAsia="Aptos" w:hAnsi="Footlight MT Light" w:cs="Times New Roman"/>
                <w:b/>
                <w:bCs/>
                <w:lang w:eastAsia="en-US"/>
              </w:rPr>
            </w:pPr>
          </w:p>
          <w:p w14:paraId="78C50F36" w14:textId="77777777" w:rsidR="00187695" w:rsidRPr="00187695" w:rsidRDefault="00187695" w:rsidP="006E69D2">
            <w:pPr>
              <w:jc w:val="both"/>
              <w:rPr>
                <w:rFonts w:ascii="Footlight MT Light" w:eastAsia="Aptos" w:hAnsi="Footlight MT Light" w:cs="Times New Roman"/>
                <w:b/>
                <w:bCs/>
                <w:lang w:eastAsia="en-US"/>
              </w:rPr>
            </w:pPr>
          </w:p>
          <w:p w14:paraId="3AE570F8" w14:textId="77777777" w:rsidR="00187695" w:rsidRPr="00187695" w:rsidRDefault="00187695" w:rsidP="006E69D2">
            <w:pPr>
              <w:jc w:val="both"/>
              <w:rPr>
                <w:rFonts w:ascii="Footlight MT Light" w:eastAsia="Aptos" w:hAnsi="Footlight MT Light" w:cs="Times New Roman"/>
                <w:b/>
                <w:bCs/>
                <w:lang w:eastAsia="en-US"/>
              </w:rPr>
            </w:pPr>
          </w:p>
          <w:p w14:paraId="0F2BB8BB" w14:textId="77777777" w:rsidR="00187695" w:rsidRPr="00187695" w:rsidRDefault="00187695" w:rsidP="006E69D2">
            <w:pPr>
              <w:jc w:val="both"/>
              <w:rPr>
                <w:rFonts w:ascii="Footlight MT Light" w:eastAsia="Aptos" w:hAnsi="Footlight MT Light" w:cs="Times New Roman"/>
                <w:b/>
                <w:bCs/>
                <w:lang w:eastAsia="en-US"/>
              </w:rPr>
            </w:pPr>
          </w:p>
          <w:p w14:paraId="1B5AA139" w14:textId="77777777" w:rsidR="00187695" w:rsidRPr="00187695" w:rsidRDefault="00187695" w:rsidP="006E69D2">
            <w:pPr>
              <w:jc w:val="both"/>
              <w:rPr>
                <w:rFonts w:ascii="Footlight MT Light" w:eastAsia="Aptos" w:hAnsi="Footlight MT Light" w:cs="Times New Roman"/>
                <w:b/>
                <w:bCs/>
                <w:lang w:eastAsia="en-US"/>
              </w:rPr>
            </w:pPr>
          </w:p>
          <w:p w14:paraId="7EE7BF86" w14:textId="77777777" w:rsidR="00187695" w:rsidRPr="00187695" w:rsidRDefault="00187695" w:rsidP="006E69D2">
            <w:pPr>
              <w:jc w:val="both"/>
              <w:rPr>
                <w:rFonts w:ascii="Footlight MT Light" w:eastAsia="Aptos" w:hAnsi="Footlight MT Light" w:cs="Times New Roman"/>
                <w:b/>
                <w:bCs/>
                <w:lang w:eastAsia="en-US"/>
              </w:rPr>
            </w:pPr>
          </w:p>
          <w:p w14:paraId="1BAB843F" w14:textId="77777777" w:rsidR="00187695" w:rsidRPr="00187695" w:rsidRDefault="00187695" w:rsidP="006E69D2">
            <w:pPr>
              <w:jc w:val="both"/>
              <w:rPr>
                <w:rFonts w:ascii="Footlight MT Light" w:eastAsia="Aptos" w:hAnsi="Footlight MT Light" w:cs="Times New Roman"/>
                <w:b/>
                <w:bCs/>
                <w:lang w:eastAsia="en-US"/>
              </w:rPr>
            </w:pPr>
          </w:p>
          <w:p w14:paraId="1DFD3570" w14:textId="77777777" w:rsidR="00187695" w:rsidRPr="00187695" w:rsidRDefault="00187695" w:rsidP="006E69D2">
            <w:pPr>
              <w:jc w:val="both"/>
              <w:rPr>
                <w:rFonts w:ascii="Footlight MT Light" w:eastAsia="Aptos" w:hAnsi="Footlight MT Light" w:cs="Times New Roman"/>
                <w:b/>
                <w:bCs/>
                <w:lang w:eastAsia="en-US"/>
              </w:rPr>
            </w:pPr>
          </w:p>
          <w:p w14:paraId="15F7C748" w14:textId="77777777" w:rsidR="00187695" w:rsidRPr="00187695" w:rsidRDefault="00187695" w:rsidP="006E69D2">
            <w:pPr>
              <w:jc w:val="both"/>
              <w:rPr>
                <w:rFonts w:ascii="Footlight MT Light" w:eastAsia="Aptos" w:hAnsi="Footlight MT Light" w:cs="Times New Roman"/>
                <w:b/>
                <w:bCs/>
                <w:lang w:eastAsia="en-US"/>
              </w:rPr>
            </w:pPr>
          </w:p>
          <w:p w14:paraId="5DA4D478" w14:textId="77777777" w:rsidR="00187695" w:rsidRPr="00187695" w:rsidRDefault="00187695"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Environmental impact</w:t>
            </w:r>
          </w:p>
        </w:tc>
        <w:tc>
          <w:tcPr>
            <w:tcW w:w="1074" w:type="pct"/>
          </w:tcPr>
          <w:p w14:paraId="1777EC18" w14:textId="77777777" w:rsidR="00187695" w:rsidRPr="00187695" w:rsidRDefault="00187695" w:rsidP="006E69D2">
            <w:pPr>
              <w:numPr>
                <w:ilvl w:val="0"/>
                <w:numId w:val="10"/>
              </w:numPr>
              <w:ind w:left="198" w:hanging="27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Link to Nigeria Gas Flare Tracker</w:t>
            </w:r>
          </w:p>
          <w:p w14:paraId="6EA908CB" w14:textId="77777777" w:rsidR="00187695" w:rsidRPr="00187695" w:rsidRDefault="00187695" w:rsidP="006E69D2">
            <w:pPr>
              <w:numPr>
                <w:ilvl w:val="0"/>
                <w:numId w:val="10"/>
              </w:numPr>
              <w:ind w:left="198" w:hanging="270"/>
              <w:contextualSpacing/>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Link to Nigeria Oil Spill Monitor</w:t>
            </w:r>
          </w:p>
        </w:tc>
        <w:tc>
          <w:tcPr>
            <w:tcW w:w="1026" w:type="pct"/>
          </w:tcPr>
          <w:p w14:paraId="65C336CD"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NEITI report</w:t>
            </w:r>
          </w:p>
        </w:tc>
        <w:tc>
          <w:tcPr>
            <w:tcW w:w="835" w:type="pct"/>
          </w:tcPr>
          <w:p w14:paraId="0D1A3569"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417FB5F1"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Using data from these and other relevant sources, IA to provide summary of data, e.g. total spill incidents, areas and population impacted, response activities and nature of responses.</w:t>
            </w:r>
          </w:p>
        </w:tc>
      </w:tr>
      <w:tr w:rsidR="00AD7A6C" w:rsidRPr="00AD7A6C" w14:paraId="3C100131" w14:textId="77777777" w:rsidTr="00187695">
        <w:tc>
          <w:tcPr>
            <w:tcW w:w="996" w:type="pct"/>
            <w:vMerge/>
          </w:tcPr>
          <w:p w14:paraId="7FA3FAF2"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50DF251A"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Provide annotated summaries with corresponding links to reports of environmental monitoring and management activities by companies and relevant agencies</w:t>
            </w:r>
          </w:p>
        </w:tc>
        <w:tc>
          <w:tcPr>
            <w:tcW w:w="1026" w:type="pct"/>
          </w:tcPr>
          <w:p w14:paraId="1B9F34C8"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O&amp;G and SM reports (links to reports of environmental activities published by oil and gas and SM companies, Federal Ministry of Environment, MMSD, etc</w:t>
            </w:r>
          </w:p>
        </w:tc>
        <w:tc>
          <w:tcPr>
            <w:tcW w:w="835" w:type="pct"/>
          </w:tcPr>
          <w:p w14:paraId="45B8AA6F" w14:textId="77777777" w:rsidR="00187695" w:rsidRPr="00187695" w:rsidRDefault="00187695" w:rsidP="006E69D2">
            <w:pPr>
              <w:jc w:val="both"/>
              <w:rPr>
                <w:rFonts w:ascii="Footlight MT Light" w:eastAsia="Aptos" w:hAnsi="Footlight MT Light" w:cs="Times New Roman"/>
                <w:lang w:eastAsia="en-US"/>
              </w:rPr>
            </w:pPr>
          </w:p>
        </w:tc>
        <w:tc>
          <w:tcPr>
            <w:tcW w:w="1069" w:type="pct"/>
          </w:tcPr>
          <w:p w14:paraId="586F2CA1"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may provide a summary of number of reporting entities as a ratio of total covered entities</w:t>
            </w:r>
          </w:p>
        </w:tc>
      </w:tr>
      <w:tr w:rsidR="00AD7A6C" w:rsidRPr="00AD7A6C" w14:paraId="21EB2CD9" w14:textId="77777777" w:rsidTr="00187695">
        <w:tc>
          <w:tcPr>
            <w:tcW w:w="996" w:type="pct"/>
            <w:vMerge/>
          </w:tcPr>
          <w:p w14:paraId="4D0A936F" w14:textId="77777777" w:rsidR="00187695" w:rsidRPr="00187695" w:rsidRDefault="00187695" w:rsidP="006E69D2">
            <w:pPr>
              <w:jc w:val="both"/>
              <w:rPr>
                <w:rFonts w:ascii="Footlight MT Light" w:eastAsia="Aptos" w:hAnsi="Footlight MT Light" w:cs="Times New Roman"/>
                <w:lang w:eastAsia="en-US"/>
              </w:rPr>
            </w:pPr>
          </w:p>
        </w:tc>
        <w:tc>
          <w:tcPr>
            <w:tcW w:w="1074" w:type="pct"/>
          </w:tcPr>
          <w:p w14:paraId="29C6F2FA"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Link to Environmental Impact Assessment reports for oil and gas and mining projects for the period; environmental audit reports and environmental compliance reports.</w:t>
            </w:r>
          </w:p>
        </w:tc>
        <w:tc>
          <w:tcPr>
            <w:tcW w:w="1026" w:type="pct"/>
          </w:tcPr>
          <w:p w14:paraId="506418A4"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oil and gas report</w:t>
            </w:r>
          </w:p>
        </w:tc>
        <w:tc>
          <w:tcPr>
            <w:tcW w:w="835" w:type="pct"/>
          </w:tcPr>
          <w:p w14:paraId="2B1231C8"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MEC and NUPRC for environmental compliance reports</w:t>
            </w:r>
          </w:p>
        </w:tc>
        <w:tc>
          <w:tcPr>
            <w:tcW w:w="1069" w:type="pct"/>
          </w:tcPr>
          <w:p w14:paraId="740C9634" w14:textId="77777777" w:rsidR="00187695" w:rsidRPr="00187695" w:rsidRDefault="00187695"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may provide summary analysis of environmental compliance reports.</w:t>
            </w:r>
          </w:p>
        </w:tc>
      </w:tr>
      <w:tr w:rsidR="00AD7A6C" w:rsidRPr="00AD7A6C" w14:paraId="79259530" w14:textId="77777777" w:rsidTr="00187695">
        <w:tc>
          <w:tcPr>
            <w:tcW w:w="996" w:type="pct"/>
            <w:vMerge w:val="restart"/>
          </w:tcPr>
          <w:p w14:paraId="5624404C" w14:textId="77777777" w:rsidR="00734B43" w:rsidRPr="00187695" w:rsidRDefault="00734B43" w:rsidP="006E69D2">
            <w:pPr>
              <w:jc w:val="both"/>
              <w:rPr>
                <w:rFonts w:ascii="Footlight MT Light" w:eastAsia="Aptos" w:hAnsi="Footlight MT Light" w:cs="Times New Roman"/>
                <w:b/>
                <w:bCs/>
                <w:lang w:eastAsia="en-US"/>
              </w:rPr>
            </w:pPr>
          </w:p>
          <w:p w14:paraId="47C377AE" w14:textId="77777777" w:rsidR="00734B43" w:rsidRPr="00187695" w:rsidRDefault="00734B43" w:rsidP="006E69D2">
            <w:pPr>
              <w:jc w:val="both"/>
              <w:rPr>
                <w:rFonts w:ascii="Footlight MT Light" w:eastAsia="Aptos" w:hAnsi="Footlight MT Light" w:cs="Times New Roman"/>
                <w:b/>
                <w:bCs/>
                <w:lang w:eastAsia="en-US"/>
              </w:rPr>
            </w:pPr>
          </w:p>
          <w:p w14:paraId="30D32069" w14:textId="77777777" w:rsidR="00734B43" w:rsidRPr="00187695" w:rsidRDefault="00734B43" w:rsidP="006E69D2">
            <w:pPr>
              <w:jc w:val="both"/>
              <w:rPr>
                <w:rFonts w:ascii="Footlight MT Light" w:eastAsia="Aptos" w:hAnsi="Footlight MT Light" w:cs="Times New Roman"/>
                <w:b/>
                <w:bCs/>
                <w:lang w:eastAsia="en-US"/>
              </w:rPr>
            </w:pPr>
          </w:p>
          <w:p w14:paraId="2E8F1996" w14:textId="77777777" w:rsidR="00734B43" w:rsidRPr="00187695" w:rsidRDefault="00734B43" w:rsidP="006E69D2">
            <w:pPr>
              <w:jc w:val="both"/>
              <w:rPr>
                <w:rFonts w:ascii="Footlight MT Light" w:eastAsia="Aptos" w:hAnsi="Footlight MT Light" w:cs="Times New Roman"/>
                <w:b/>
                <w:bCs/>
                <w:lang w:eastAsia="en-US"/>
              </w:rPr>
            </w:pPr>
          </w:p>
          <w:p w14:paraId="42D5673C" w14:textId="77777777" w:rsidR="00734B43" w:rsidRPr="00187695" w:rsidRDefault="00734B43" w:rsidP="006E69D2">
            <w:pPr>
              <w:jc w:val="both"/>
              <w:rPr>
                <w:rFonts w:ascii="Footlight MT Light" w:eastAsia="Aptos" w:hAnsi="Footlight MT Light" w:cs="Times New Roman"/>
                <w:b/>
                <w:bCs/>
                <w:lang w:eastAsia="en-US"/>
              </w:rPr>
            </w:pPr>
          </w:p>
          <w:p w14:paraId="0FE6372D" w14:textId="77777777" w:rsidR="00734B43" w:rsidRPr="00187695" w:rsidRDefault="00734B43" w:rsidP="006E69D2">
            <w:pPr>
              <w:jc w:val="both"/>
              <w:rPr>
                <w:rFonts w:ascii="Footlight MT Light" w:eastAsia="Aptos" w:hAnsi="Footlight MT Light" w:cs="Times New Roman"/>
                <w:b/>
                <w:bCs/>
                <w:lang w:eastAsia="en-US"/>
              </w:rPr>
            </w:pPr>
          </w:p>
          <w:p w14:paraId="0DDF6CAD" w14:textId="77777777" w:rsidR="00734B43" w:rsidRPr="00187695" w:rsidRDefault="00734B43" w:rsidP="006E69D2">
            <w:pPr>
              <w:jc w:val="both"/>
              <w:rPr>
                <w:rFonts w:ascii="Footlight MT Light" w:eastAsia="Aptos" w:hAnsi="Footlight MT Light" w:cs="Times New Roman"/>
                <w:b/>
                <w:bCs/>
                <w:lang w:eastAsia="en-US"/>
              </w:rPr>
            </w:pPr>
          </w:p>
          <w:p w14:paraId="4F58EC95" w14:textId="77777777" w:rsidR="00734B43" w:rsidRPr="00187695" w:rsidRDefault="00734B43" w:rsidP="006E69D2">
            <w:pPr>
              <w:jc w:val="both"/>
              <w:rPr>
                <w:rFonts w:ascii="Footlight MT Light" w:eastAsia="Aptos" w:hAnsi="Footlight MT Light" w:cs="Times New Roman"/>
                <w:b/>
                <w:bCs/>
                <w:lang w:eastAsia="en-US"/>
              </w:rPr>
            </w:pPr>
          </w:p>
          <w:p w14:paraId="2178F1C3" w14:textId="77777777" w:rsidR="00734B43" w:rsidRPr="00187695" w:rsidRDefault="00734B43" w:rsidP="006E69D2">
            <w:pPr>
              <w:jc w:val="both"/>
              <w:rPr>
                <w:rFonts w:ascii="Footlight MT Light" w:eastAsia="Aptos" w:hAnsi="Footlight MT Light" w:cs="Times New Roman"/>
                <w:b/>
                <w:bCs/>
                <w:lang w:eastAsia="en-US"/>
              </w:rPr>
            </w:pPr>
          </w:p>
          <w:p w14:paraId="37DF9351" w14:textId="77777777" w:rsidR="00734B43" w:rsidRPr="00187695" w:rsidRDefault="00734B43" w:rsidP="006E69D2">
            <w:pPr>
              <w:jc w:val="both"/>
              <w:rPr>
                <w:rFonts w:ascii="Footlight MT Light" w:eastAsia="Aptos" w:hAnsi="Footlight MT Light" w:cs="Times New Roman"/>
                <w:b/>
                <w:bCs/>
                <w:lang w:eastAsia="en-US"/>
              </w:rPr>
            </w:pPr>
          </w:p>
          <w:p w14:paraId="17235D39" w14:textId="77777777" w:rsidR="00734B43" w:rsidRPr="00187695" w:rsidRDefault="00734B43" w:rsidP="006E69D2">
            <w:pPr>
              <w:jc w:val="both"/>
              <w:rPr>
                <w:rFonts w:ascii="Footlight MT Light" w:eastAsia="Aptos" w:hAnsi="Footlight MT Light" w:cs="Times New Roman"/>
                <w:b/>
                <w:bCs/>
                <w:lang w:eastAsia="en-US"/>
              </w:rPr>
            </w:pPr>
          </w:p>
          <w:p w14:paraId="42BC2288" w14:textId="77777777" w:rsidR="00734B43" w:rsidRPr="00187695" w:rsidRDefault="00734B43" w:rsidP="006E69D2">
            <w:pPr>
              <w:jc w:val="both"/>
              <w:rPr>
                <w:rFonts w:ascii="Footlight MT Light" w:eastAsia="Aptos" w:hAnsi="Footlight MT Light" w:cs="Times New Roman"/>
                <w:b/>
                <w:bCs/>
                <w:lang w:eastAsia="en-US"/>
              </w:rPr>
            </w:pPr>
          </w:p>
          <w:p w14:paraId="4685988B" w14:textId="77777777" w:rsidR="00734B43" w:rsidRPr="00187695" w:rsidRDefault="00734B43" w:rsidP="006E69D2">
            <w:pPr>
              <w:jc w:val="both"/>
              <w:rPr>
                <w:rFonts w:ascii="Footlight MT Light" w:eastAsia="Aptos" w:hAnsi="Footlight MT Light" w:cs="Times New Roman"/>
                <w:b/>
                <w:bCs/>
                <w:lang w:eastAsia="en-US"/>
              </w:rPr>
            </w:pPr>
          </w:p>
          <w:p w14:paraId="0E39DDDF" w14:textId="77777777" w:rsidR="00734B43" w:rsidRPr="00187695" w:rsidRDefault="00734B43" w:rsidP="006E69D2">
            <w:pPr>
              <w:jc w:val="both"/>
              <w:rPr>
                <w:rFonts w:ascii="Footlight MT Light" w:eastAsia="Aptos" w:hAnsi="Footlight MT Light" w:cs="Times New Roman"/>
                <w:b/>
                <w:bCs/>
                <w:lang w:eastAsia="en-US"/>
              </w:rPr>
            </w:pPr>
          </w:p>
          <w:p w14:paraId="5D017187" w14:textId="77777777" w:rsidR="00734B43" w:rsidRPr="00187695" w:rsidRDefault="00734B43"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Anti-corruption</w:t>
            </w:r>
          </w:p>
        </w:tc>
        <w:tc>
          <w:tcPr>
            <w:tcW w:w="1074" w:type="pct"/>
          </w:tcPr>
          <w:p w14:paraId="1B6D26C1"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lastRenderedPageBreak/>
              <w:t xml:space="preserve">Provide links or summaries of laws, regulations and government </w:t>
            </w:r>
            <w:r w:rsidRPr="00187695">
              <w:rPr>
                <w:rFonts w:ascii="Footlight MT Light" w:eastAsia="Aptos" w:hAnsi="Footlight MT Light" w:cs="Times New Roman"/>
                <w:lang w:eastAsia="en-US"/>
              </w:rPr>
              <w:lastRenderedPageBreak/>
              <w:t>directives or policies designed to curtail corruption and abuse in the extractive industry (e.g. presidential executive order on doing business and oil and gas contracting</w:t>
            </w:r>
          </w:p>
        </w:tc>
        <w:tc>
          <w:tcPr>
            <w:tcW w:w="1026" w:type="pct"/>
          </w:tcPr>
          <w:p w14:paraId="4574845E" w14:textId="5AE59956" w:rsidR="00734B43" w:rsidRPr="00A36F10" w:rsidRDefault="00734B43" w:rsidP="006E69D2">
            <w:pPr>
              <w:jc w:val="both"/>
              <w:rPr>
                <w:rFonts w:ascii="Footlight MT Light" w:eastAsia="Aptos" w:hAnsi="Footlight MT Light" w:cs="Times New Roman"/>
                <w:lang w:eastAsia="en-US"/>
              </w:rPr>
            </w:pPr>
            <w:r w:rsidRPr="00A36F10">
              <w:rPr>
                <w:rFonts w:ascii="Footlight MT Light" w:eastAsia="Aptos" w:hAnsi="Footlight MT Light" w:cs="Times New Roman"/>
                <w:lang w:eastAsia="en-US"/>
              </w:rPr>
              <w:lastRenderedPageBreak/>
              <w:t>NEITI Reports</w:t>
            </w:r>
          </w:p>
        </w:tc>
        <w:tc>
          <w:tcPr>
            <w:tcW w:w="835" w:type="pct"/>
          </w:tcPr>
          <w:p w14:paraId="2206E437" w14:textId="364806FF" w:rsidR="00734B43" w:rsidRPr="00A36F10" w:rsidRDefault="00734B43" w:rsidP="006E69D2">
            <w:pPr>
              <w:jc w:val="both"/>
              <w:rPr>
                <w:rFonts w:ascii="Footlight MT Light" w:eastAsia="Aptos" w:hAnsi="Footlight MT Light" w:cs="Times New Roman"/>
                <w:lang w:eastAsia="en-US"/>
              </w:rPr>
            </w:pPr>
            <w:r w:rsidRPr="00A36F10">
              <w:rPr>
                <w:rFonts w:ascii="Footlight MT Light" w:eastAsia="Aptos" w:hAnsi="Footlight MT Light" w:cs="Times New Roman"/>
                <w:lang w:eastAsia="en-US"/>
              </w:rPr>
              <w:t>NEITI</w:t>
            </w:r>
          </w:p>
        </w:tc>
        <w:tc>
          <w:tcPr>
            <w:tcW w:w="1069" w:type="pct"/>
          </w:tcPr>
          <w:p w14:paraId="7D6DD231" w14:textId="3080EE04"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oil and gas and SM reports</w:t>
            </w:r>
            <w:r w:rsidRPr="00AD7A6C">
              <w:rPr>
                <w:rFonts w:ascii="Footlight MT Light" w:eastAsia="Aptos" w:hAnsi="Footlight MT Light" w:cs="Times New Roman"/>
                <w:lang w:eastAsia="en-US"/>
              </w:rPr>
              <w:t xml:space="preserve"> to </w:t>
            </w:r>
            <w:r w:rsidRPr="00187695">
              <w:rPr>
                <w:rFonts w:ascii="Footlight MT Light" w:eastAsia="Aptos" w:hAnsi="Footlight MT Light" w:cs="Times New Roman"/>
                <w:lang w:eastAsia="en-US"/>
              </w:rPr>
              <w:t xml:space="preserve">provide links to presidential </w:t>
            </w:r>
            <w:r w:rsidRPr="00187695">
              <w:rPr>
                <w:rFonts w:ascii="Footlight MT Light" w:eastAsia="Aptos" w:hAnsi="Footlight MT Light" w:cs="Times New Roman"/>
                <w:lang w:eastAsia="en-US"/>
              </w:rPr>
              <w:lastRenderedPageBreak/>
              <w:t>executive order on ease of doing business and executive order on oil and gas contracting costs and timelines.</w:t>
            </w:r>
          </w:p>
        </w:tc>
      </w:tr>
      <w:tr w:rsidR="00AD7A6C" w:rsidRPr="00AD7A6C" w14:paraId="36F9DAF4" w14:textId="77777777" w:rsidTr="00187695">
        <w:tc>
          <w:tcPr>
            <w:tcW w:w="996" w:type="pct"/>
            <w:vMerge/>
          </w:tcPr>
          <w:p w14:paraId="31D94827" w14:textId="77777777" w:rsidR="00734B43" w:rsidRPr="00187695" w:rsidRDefault="00734B43" w:rsidP="006E69D2">
            <w:pPr>
              <w:jc w:val="both"/>
              <w:rPr>
                <w:rFonts w:ascii="Footlight MT Light" w:eastAsia="Aptos" w:hAnsi="Footlight MT Light" w:cs="Times New Roman"/>
                <w:lang w:eastAsia="en-US"/>
              </w:rPr>
            </w:pPr>
          </w:p>
        </w:tc>
        <w:tc>
          <w:tcPr>
            <w:tcW w:w="1074" w:type="pct"/>
          </w:tcPr>
          <w:p w14:paraId="77B1C16D" w14:textId="16BFCA06"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Provide links to, or provide an annotated summary of companies’ and sector regulators’ anti-corruption policies</w:t>
            </w:r>
          </w:p>
        </w:tc>
        <w:tc>
          <w:tcPr>
            <w:tcW w:w="1026" w:type="pct"/>
          </w:tcPr>
          <w:p w14:paraId="79567AD0"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oil &amp; gas and SM reports (policy documents to be provided by companies and sector regulators)</w:t>
            </w:r>
          </w:p>
        </w:tc>
        <w:tc>
          <w:tcPr>
            <w:tcW w:w="835" w:type="pct"/>
          </w:tcPr>
          <w:p w14:paraId="05B28676" w14:textId="77777777" w:rsidR="00734B43" w:rsidRPr="00187695" w:rsidRDefault="00734B43" w:rsidP="006E69D2">
            <w:pPr>
              <w:jc w:val="both"/>
              <w:rPr>
                <w:rFonts w:ascii="Footlight MT Light" w:eastAsia="Aptos" w:hAnsi="Footlight MT Light" w:cs="Times New Roman"/>
                <w:lang w:eastAsia="en-US"/>
              </w:rPr>
            </w:pPr>
          </w:p>
        </w:tc>
        <w:tc>
          <w:tcPr>
            <w:tcW w:w="1069" w:type="pct"/>
          </w:tcPr>
          <w:p w14:paraId="2CDD0AF3"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The IA may provide quantitative analysis of number of entities with anticorruption policies relative to total covered entities</w:t>
            </w:r>
          </w:p>
        </w:tc>
      </w:tr>
      <w:tr w:rsidR="00AD7A6C" w:rsidRPr="00AD7A6C" w14:paraId="67B50A29" w14:textId="77777777" w:rsidTr="00187695">
        <w:tc>
          <w:tcPr>
            <w:tcW w:w="996" w:type="pct"/>
            <w:vMerge/>
          </w:tcPr>
          <w:p w14:paraId="2A5191D7" w14:textId="77777777" w:rsidR="00734B43" w:rsidRPr="00187695" w:rsidRDefault="00734B43" w:rsidP="006E69D2">
            <w:pPr>
              <w:jc w:val="both"/>
              <w:rPr>
                <w:rFonts w:ascii="Footlight MT Light" w:eastAsia="Aptos" w:hAnsi="Footlight MT Light" w:cs="Times New Roman"/>
                <w:lang w:eastAsia="en-US"/>
              </w:rPr>
            </w:pPr>
          </w:p>
        </w:tc>
        <w:tc>
          <w:tcPr>
            <w:tcW w:w="1074" w:type="pct"/>
          </w:tcPr>
          <w:p w14:paraId="1654BEB9"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Provide links to, or provided an annotated summary of reports of corruption risk assessment of the oil and gas or SM sectors carried out by institutions or organisations</w:t>
            </w:r>
          </w:p>
        </w:tc>
        <w:tc>
          <w:tcPr>
            <w:tcW w:w="1026" w:type="pct"/>
          </w:tcPr>
          <w:p w14:paraId="4C257BF9"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oil &amp; gas and SM reports (policy documents to be provided by organisations including ICPC, NFIU, EFCC, NEITI etc)</w:t>
            </w:r>
          </w:p>
        </w:tc>
        <w:tc>
          <w:tcPr>
            <w:tcW w:w="835" w:type="pct"/>
          </w:tcPr>
          <w:p w14:paraId="5511E535" w14:textId="77777777" w:rsidR="00734B43" w:rsidRPr="00187695" w:rsidRDefault="00734B43" w:rsidP="006E69D2">
            <w:pPr>
              <w:jc w:val="both"/>
              <w:rPr>
                <w:rFonts w:ascii="Footlight MT Light" w:eastAsia="Aptos" w:hAnsi="Footlight MT Light" w:cs="Times New Roman"/>
                <w:lang w:eastAsia="en-US"/>
              </w:rPr>
            </w:pPr>
          </w:p>
        </w:tc>
        <w:tc>
          <w:tcPr>
            <w:tcW w:w="1069" w:type="pct"/>
          </w:tcPr>
          <w:p w14:paraId="2A9315B8"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IA to check if ICPC completed their CRA and system study of the oil and gas sector in 2023. Also check if TUGAR completed the integrity plan for the ports CRA in 2022 or 2023. See also NFIU’s report corruption typology on the extractive sector carried out in 2023 in compliance with GIABA / FATF recommendations.</w:t>
            </w:r>
          </w:p>
        </w:tc>
      </w:tr>
      <w:tr w:rsidR="00AD7A6C" w:rsidRPr="00AD7A6C" w14:paraId="51A28E60" w14:textId="77777777" w:rsidTr="00187695">
        <w:tc>
          <w:tcPr>
            <w:tcW w:w="996" w:type="pct"/>
            <w:vMerge/>
          </w:tcPr>
          <w:p w14:paraId="2753AA54" w14:textId="77777777" w:rsidR="00734B43" w:rsidRPr="00187695" w:rsidRDefault="00734B43" w:rsidP="006E69D2">
            <w:pPr>
              <w:jc w:val="both"/>
              <w:rPr>
                <w:rFonts w:ascii="Footlight MT Light" w:eastAsia="Aptos" w:hAnsi="Footlight MT Light" w:cs="Times New Roman"/>
                <w:lang w:eastAsia="en-US"/>
              </w:rPr>
            </w:pPr>
          </w:p>
        </w:tc>
        <w:tc>
          <w:tcPr>
            <w:tcW w:w="1074" w:type="pct"/>
          </w:tcPr>
          <w:p w14:paraId="4FBA0D6A"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Provide link to or annotated summary of incidence of any corruption, money laundering, illicit financial flows case in the oil and gas or mining sector in 2022 and 2023.</w:t>
            </w:r>
          </w:p>
          <w:p w14:paraId="2FA17E7D" w14:textId="77777777" w:rsidR="00734B43" w:rsidRPr="00187695" w:rsidRDefault="00734B43" w:rsidP="006E69D2">
            <w:pPr>
              <w:jc w:val="both"/>
              <w:rPr>
                <w:rFonts w:ascii="Footlight MT Light" w:eastAsia="Aptos" w:hAnsi="Footlight MT Light" w:cs="Times New Roman"/>
                <w:lang w:eastAsia="en-US"/>
              </w:rPr>
            </w:pPr>
          </w:p>
        </w:tc>
        <w:tc>
          <w:tcPr>
            <w:tcW w:w="1026" w:type="pct"/>
          </w:tcPr>
          <w:p w14:paraId="617E5939" w14:textId="3C318D6D"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NEITI O&amp;G and SM reports (</w:t>
            </w:r>
            <w:r w:rsidR="0051722A" w:rsidRPr="00AD7A6C">
              <w:rPr>
                <w:rFonts w:ascii="Footlight MT Light" w:eastAsia="Aptos" w:hAnsi="Footlight MT Light" w:cs="Times New Roman"/>
                <w:lang w:eastAsia="en-US"/>
              </w:rPr>
              <w:t xml:space="preserve">to provide </w:t>
            </w:r>
            <w:r w:rsidRPr="00187695">
              <w:rPr>
                <w:rFonts w:ascii="Footlight MT Light" w:eastAsia="Aptos" w:hAnsi="Footlight MT Light" w:cs="Times New Roman"/>
                <w:lang w:eastAsia="en-US"/>
              </w:rPr>
              <w:t>case update available on websites of EFCC, ICPC, NFIU or any other competent authority).</w:t>
            </w:r>
          </w:p>
        </w:tc>
        <w:tc>
          <w:tcPr>
            <w:tcW w:w="835" w:type="pct"/>
          </w:tcPr>
          <w:p w14:paraId="4731DB6A" w14:textId="77777777" w:rsidR="00734B43" w:rsidRPr="00187695" w:rsidRDefault="00734B43" w:rsidP="006E69D2">
            <w:pPr>
              <w:jc w:val="both"/>
              <w:rPr>
                <w:rFonts w:ascii="Footlight MT Light" w:eastAsia="Aptos" w:hAnsi="Footlight MT Light" w:cs="Times New Roman"/>
                <w:lang w:eastAsia="en-US"/>
              </w:rPr>
            </w:pPr>
          </w:p>
        </w:tc>
        <w:tc>
          <w:tcPr>
            <w:tcW w:w="1069" w:type="pct"/>
          </w:tcPr>
          <w:p w14:paraId="5EBB4713" w14:textId="77777777" w:rsidR="00734B43" w:rsidRPr="00A36F10" w:rsidRDefault="00734B43" w:rsidP="006E69D2">
            <w:pPr>
              <w:jc w:val="both"/>
              <w:rPr>
                <w:rFonts w:ascii="Footlight MT Light" w:eastAsia="Aptos" w:hAnsi="Footlight MT Light" w:cs="Times New Roman"/>
                <w:lang w:eastAsia="en-US"/>
              </w:rPr>
            </w:pPr>
            <w:r w:rsidRPr="00A36F10">
              <w:rPr>
                <w:rFonts w:ascii="Footlight MT Light" w:eastAsia="Aptos" w:hAnsi="Footlight MT Light" w:cs="Times New Roman"/>
                <w:lang w:eastAsia="en-US"/>
              </w:rPr>
              <w:t>E&amp;M and PPS to determine if any major developments in the OPL 245 case in 2022 and 2023 are worth reflecting in the report.</w:t>
            </w:r>
          </w:p>
        </w:tc>
      </w:tr>
      <w:tr w:rsidR="00AD7A6C" w:rsidRPr="00AD7A6C" w14:paraId="15AA14EC" w14:textId="77777777" w:rsidTr="00187695">
        <w:tc>
          <w:tcPr>
            <w:tcW w:w="996" w:type="pct"/>
          </w:tcPr>
          <w:p w14:paraId="643CD6FC" w14:textId="77777777" w:rsidR="00734B43" w:rsidRPr="00187695" w:rsidRDefault="00734B43"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t>Crude oil losses</w:t>
            </w:r>
          </w:p>
        </w:tc>
        <w:tc>
          <w:tcPr>
            <w:tcW w:w="1074" w:type="pct"/>
          </w:tcPr>
          <w:p w14:paraId="0D1060C9" w14:textId="0FDF395B"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Volume of crude loses disaggregated by theft, </w:t>
            </w:r>
            <w:r w:rsidR="0051722A" w:rsidRPr="00AD7A6C">
              <w:rPr>
                <w:rFonts w:ascii="Footlight MT Light" w:eastAsia="Aptos" w:hAnsi="Footlight MT Light" w:cs="Times New Roman"/>
                <w:lang w:eastAsia="en-US"/>
              </w:rPr>
              <w:t>sabotage,</w:t>
            </w:r>
            <w:r w:rsidRPr="00187695">
              <w:rPr>
                <w:rFonts w:ascii="Footlight MT Light" w:eastAsia="Aptos" w:hAnsi="Footlight MT Light" w:cs="Times New Roman"/>
                <w:lang w:eastAsia="en-US"/>
              </w:rPr>
              <w:t xml:space="preserve"> and deferred production</w:t>
            </w:r>
          </w:p>
        </w:tc>
        <w:tc>
          <w:tcPr>
            <w:tcW w:w="1026" w:type="pct"/>
          </w:tcPr>
          <w:p w14:paraId="485DAD53"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Upstream companies</w:t>
            </w:r>
          </w:p>
        </w:tc>
        <w:tc>
          <w:tcPr>
            <w:tcW w:w="835" w:type="pct"/>
          </w:tcPr>
          <w:p w14:paraId="4CCF2CBB" w14:textId="77777777" w:rsidR="00734B43" w:rsidRPr="00187695" w:rsidRDefault="00734B43" w:rsidP="006E69D2">
            <w:pPr>
              <w:jc w:val="both"/>
              <w:rPr>
                <w:rFonts w:ascii="Footlight MT Light" w:eastAsia="Aptos" w:hAnsi="Footlight MT Light" w:cs="Times New Roman"/>
                <w:lang w:eastAsia="en-US"/>
              </w:rPr>
            </w:pPr>
          </w:p>
        </w:tc>
        <w:tc>
          <w:tcPr>
            <w:tcW w:w="1069" w:type="pct"/>
          </w:tcPr>
          <w:p w14:paraId="42F3EB22" w14:textId="20707A64"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 xml:space="preserve">It is important and useful to further disaggregate deferred production into planned and unplanned </w:t>
            </w:r>
            <w:r w:rsidRPr="00187695">
              <w:rPr>
                <w:rFonts w:ascii="Footlight MT Light" w:eastAsia="Aptos" w:hAnsi="Footlight MT Light" w:cs="Times New Roman"/>
                <w:lang w:eastAsia="en-US"/>
              </w:rPr>
              <w:lastRenderedPageBreak/>
              <w:t xml:space="preserve">deferment, </w:t>
            </w:r>
            <w:r w:rsidR="0051722A" w:rsidRPr="00AD7A6C">
              <w:rPr>
                <w:rFonts w:ascii="Footlight MT Light" w:eastAsia="Aptos" w:hAnsi="Footlight MT Light" w:cs="Times New Roman"/>
                <w:lang w:eastAsia="en-US"/>
              </w:rPr>
              <w:t>as</w:t>
            </w:r>
            <w:r w:rsidRPr="00187695">
              <w:rPr>
                <w:rFonts w:ascii="Footlight MT Light" w:eastAsia="Aptos" w:hAnsi="Footlight MT Light" w:cs="Times New Roman"/>
                <w:lang w:eastAsia="en-US"/>
              </w:rPr>
              <w:t xml:space="preserve"> the </w:t>
            </w:r>
            <w:r w:rsidR="0051722A" w:rsidRPr="00AD7A6C">
              <w:rPr>
                <w:rFonts w:ascii="Footlight MT Light" w:eastAsia="Aptos" w:hAnsi="Footlight MT Light" w:cs="Times New Roman"/>
                <w:lang w:eastAsia="en-US"/>
              </w:rPr>
              <w:t>latter</w:t>
            </w:r>
            <w:r w:rsidRPr="00187695">
              <w:rPr>
                <w:rFonts w:ascii="Footlight MT Light" w:eastAsia="Aptos" w:hAnsi="Footlight MT Light" w:cs="Times New Roman"/>
                <w:lang w:eastAsia="en-US"/>
              </w:rPr>
              <w:t xml:space="preserve"> is required for more accurate computation of “losses” in NEITI reports.</w:t>
            </w:r>
          </w:p>
          <w:p w14:paraId="22905218" w14:textId="77777777" w:rsidR="00734B43" w:rsidRPr="00187695" w:rsidRDefault="00734B43" w:rsidP="006E69D2">
            <w:pPr>
              <w:jc w:val="both"/>
              <w:rPr>
                <w:rFonts w:ascii="Footlight MT Light" w:eastAsia="Aptos" w:hAnsi="Footlight MT Light" w:cs="Times New Roman"/>
                <w:lang w:eastAsia="en-US"/>
              </w:rPr>
            </w:pPr>
          </w:p>
        </w:tc>
      </w:tr>
      <w:tr w:rsidR="00AD7A6C" w:rsidRPr="00AD7A6C" w14:paraId="3CB2F1D1" w14:textId="77777777" w:rsidTr="00187695">
        <w:tc>
          <w:tcPr>
            <w:tcW w:w="996" w:type="pct"/>
          </w:tcPr>
          <w:p w14:paraId="38F17009" w14:textId="77777777" w:rsidR="00734B43" w:rsidRPr="00187695" w:rsidRDefault="00734B43" w:rsidP="006E69D2">
            <w:pPr>
              <w:jc w:val="both"/>
              <w:rPr>
                <w:rFonts w:ascii="Footlight MT Light" w:eastAsia="Aptos" w:hAnsi="Footlight MT Light" w:cs="Times New Roman"/>
                <w:b/>
                <w:bCs/>
                <w:lang w:eastAsia="en-US"/>
              </w:rPr>
            </w:pPr>
            <w:r w:rsidRPr="00187695">
              <w:rPr>
                <w:rFonts w:ascii="Footlight MT Light" w:eastAsia="Aptos" w:hAnsi="Footlight MT Light" w:cs="Times New Roman"/>
                <w:b/>
                <w:bCs/>
                <w:lang w:eastAsia="en-US"/>
              </w:rPr>
              <w:lastRenderedPageBreak/>
              <w:t>Gas flared penalty</w:t>
            </w:r>
          </w:p>
        </w:tc>
        <w:tc>
          <w:tcPr>
            <w:tcW w:w="1074" w:type="pct"/>
          </w:tcPr>
          <w:p w14:paraId="2163DBFE"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Gas flare payment to be disaggregated by volume &amp; payment per asset/community</w:t>
            </w:r>
          </w:p>
        </w:tc>
        <w:tc>
          <w:tcPr>
            <w:tcW w:w="1026" w:type="pct"/>
          </w:tcPr>
          <w:p w14:paraId="0EFB6722"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Oil and gas companies</w:t>
            </w:r>
          </w:p>
        </w:tc>
        <w:tc>
          <w:tcPr>
            <w:tcW w:w="835" w:type="pct"/>
          </w:tcPr>
          <w:p w14:paraId="5DB03E3E" w14:textId="77777777" w:rsidR="00734B43" w:rsidRPr="00187695" w:rsidRDefault="00734B43" w:rsidP="006E69D2">
            <w:pPr>
              <w:jc w:val="both"/>
              <w:rPr>
                <w:rFonts w:ascii="Footlight MT Light" w:eastAsia="Aptos" w:hAnsi="Footlight MT Light" w:cs="Times New Roman"/>
                <w:lang w:eastAsia="en-US"/>
              </w:rPr>
            </w:pPr>
          </w:p>
        </w:tc>
        <w:tc>
          <w:tcPr>
            <w:tcW w:w="1069" w:type="pct"/>
          </w:tcPr>
          <w:p w14:paraId="4D50C7E2"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Data would be subsequently used by NEITI to assess if the objective of the PIA is being met.</w:t>
            </w:r>
          </w:p>
          <w:p w14:paraId="2F111081" w14:textId="77777777" w:rsidR="00734B43" w:rsidRPr="00187695" w:rsidRDefault="00734B43" w:rsidP="006E69D2">
            <w:pPr>
              <w:jc w:val="both"/>
              <w:rPr>
                <w:rFonts w:ascii="Footlight MT Light" w:eastAsia="Aptos" w:hAnsi="Footlight MT Light" w:cs="Times New Roman"/>
                <w:lang w:eastAsia="en-US"/>
              </w:rPr>
            </w:pPr>
            <w:r w:rsidRPr="00187695">
              <w:rPr>
                <w:rFonts w:ascii="Footlight MT Light" w:eastAsia="Aptos" w:hAnsi="Footlight MT Light" w:cs="Times New Roman"/>
                <w:lang w:eastAsia="en-US"/>
              </w:rPr>
              <w:t>(Section 104(4) of the PIA states that monies received from gas flare penalties shall be used for remediation and relief of the community hosting the facility from which the gas was flared. )</w:t>
            </w:r>
          </w:p>
        </w:tc>
      </w:tr>
    </w:tbl>
    <w:p w14:paraId="178C65B4" w14:textId="77777777" w:rsidR="00187695" w:rsidRPr="00AD7A6C" w:rsidRDefault="00187695" w:rsidP="006E69D2">
      <w:pPr>
        <w:jc w:val="both"/>
        <w:rPr>
          <w:rFonts w:ascii="Footlight MT Light" w:hAnsi="Footlight MT Light"/>
          <w:sz w:val="24"/>
          <w:szCs w:val="24"/>
        </w:rPr>
      </w:pPr>
    </w:p>
    <w:sectPr w:rsidR="00187695" w:rsidRPr="00AD7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ntium Basic">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319C4"/>
    <w:multiLevelType w:val="hybridMultilevel"/>
    <w:tmpl w:val="CD001DDE"/>
    <w:lvl w:ilvl="0" w:tplc="2188E2A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2E19D5"/>
    <w:multiLevelType w:val="hybridMultilevel"/>
    <w:tmpl w:val="DA1E7200"/>
    <w:lvl w:ilvl="0" w:tplc="F8E04452">
      <w:start w:val="1"/>
      <w:numFmt w:val="decimal"/>
      <w:lvlText w:val="%1."/>
      <w:lvlJc w:val="left"/>
      <w:pPr>
        <w:ind w:left="720" w:hanging="72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915547"/>
    <w:multiLevelType w:val="multilevel"/>
    <w:tmpl w:val="A5D8C39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D1503"/>
    <w:multiLevelType w:val="hybridMultilevel"/>
    <w:tmpl w:val="374E14B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DE30A5A"/>
    <w:multiLevelType w:val="hybridMultilevel"/>
    <w:tmpl w:val="963053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1A96748"/>
    <w:multiLevelType w:val="hybridMultilevel"/>
    <w:tmpl w:val="125E140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33546170"/>
    <w:multiLevelType w:val="multilevel"/>
    <w:tmpl w:val="8E70EE56"/>
    <w:lvl w:ilvl="0">
      <w:start w:val="4"/>
      <w:numFmt w:val="decimal"/>
      <w:lvlText w:val="%1"/>
      <w:lvlJc w:val="left"/>
      <w:pPr>
        <w:ind w:left="552" w:hanging="552"/>
      </w:pPr>
      <w:rPr>
        <w:rFonts w:eastAsia="Times New Roman" w:cs="Times New Roman" w:hint="default"/>
        <w:b/>
        <w:sz w:val="24"/>
      </w:rPr>
    </w:lvl>
    <w:lvl w:ilvl="1">
      <w:start w:val="2"/>
      <w:numFmt w:val="decimal"/>
      <w:lvlText w:val="%1.%2"/>
      <w:lvlJc w:val="left"/>
      <w:pPr>
        <w:ind w:left="552" w:hanging="552"/>
      </w:pPr>
      <w:rPr>
        <w:rFonts w:eastAsia="Times New Roman" w:cs="Times New Roman" w:hint="default"/>
        <w:b/>
        <w:sz w:val="24"/>
      </w:rPr>
    </w:lvl>
    <w:lvl w:ilvl="2">
      <w:start w:val="2"/>
      <w:numFmt w:val="decimal"/>
      <w:lvlText w:val="%1.%2.%3"/>
      <w:lvlJc w:val="left"/>
      <w:pPr>
        <w:ind w:left="720" w:hanging="720"/>
      </w:pPr>
      <w:rPr>
        <w:rFonts w:eastAsia="Times New Roman" w:cs="Times New Roman" w:hint="default"/>
        <w:b w:val="0"/>
        <w:bCs/>
        <w:sz w:val="24"/>
      </w:rPr>
    </w:lvl>
    <w:lvl w:ilvl="3">
      <w:start w:val="1"/>
      <w:numFmt w:val="decimal"/>
      <w:lvlText w:val="%1.%2.%3.%4"/>
      <w:lvlJc w:val="left"/>
      <w:pPr>
        <w:ind w:left="1080" w:hanging="1080"/>
      </w:pPr>
      <w:rPr>
        <w:rFonts w:eastAsia="Times New Roman" w:cs="Times New Roman" w:hint="default"/>
        <w:b/>
        <w:sz w:val="24"/>
      </w:rPr>
    </w:lvl>
    <w:lvl w:ilvl="4">
      <w:start w:val="1"/>
      <w:numFmt w:val="decimal"/>
      <w:lvlText w:val="%1.%2.%3.%4.%5"/>
      <w:lvlJc w:val="left"/>
      <w:pPr>
        <w:ind w:left="1080" w:hanging="1080"/>
      </w:pPr>
      <w:rPr>
        <w:rFonts w:eastAsia="Times New Roman" w:cs="Times New Roman" w:hint="default"/>
        <w:b/>
        <w:sz w:val="24"/>
      </w:rPr>
    </w:lvl>
    <w:lvl w:ilvl="5">
      <w:start w:val="1"/>
      <w:numFmt w:val="decimal"/>
      <w:lvlText w:val="%1.%2.%3.%4.%5.%6"/>
      <w:lvlJc w:val="left"/>
      <w:pPr>
        <w:ind w:left="1440" w:hanging="1440"/>
      </w:pPr>
      <w:rPr>
        <w:rFonts w:eastAsia="Times New Roman" w:cs="Times New Roman" w:hint="default"/>
        <w:b/>
        <w:sz w:val="24"/>
      </w:rPr>
    </w:lvl>
    <w:lvl w:ilvl="6">
      <w:start w:val="1"/>
      <w:numFmt w:val="decimal"/>
      <w:lvlText w:val="%1.%2.%3.%4.%5.%6.%7"/>
      <w:lvlJc w:val="left"/>
      <w:pPr>
        <w:ind w:left="1440" w:hanging="1440"/>
      </w:pPr>
      <w:rPr>
        <w:rFonts w:eastAsia="Times New Roman" w:cs="Times New Roman" w:hint="default"/>
        <w:b/>
        <w:sz w:val="24"/>
      </w:rPr>
    </w:lvl>
    <w:lvl w:ilvl="7">
      <w:start w:val="1"/>
      <w:numFmt w:val="decimal"/>
      <w:lvlText w:val="%1.%2.%3.%4.%5.%6.%7.%8"/>
      <w:lvlJc w:val="left"/>
      <w:pPr>
        <w:ind w:left="1800" w:hanging="1800"/>
      </w:pPr>
      <w:rPr>
        <w:rFonts w:eastAsia="Times New Roman" w:cs="Times New Roman" w:hint="default"/>
        <w:b/>
        <w:sz w:val="24"/>
      </w:rPr>
    </w:lvl>
    <w:lvl w:ilvl="8">
      <w:start w:val="1"/>
      <w:numFmt w:val="decimal"/>
      <w:lvlText w:val="%1.%2.%3.%4.%5.%6.%7.%8.%9"/>
      <w:lvlJc w:val="left"/>
      <w:pPr>
        <w:ind w:left="1800" w:hanging="1800"/>
      </w:pPr>
      <w:rPr>
        <w:rFonts w:eastAsia="Times New Roman" w:cs="Times New Roman" w:hint="default"/>
        <w:b/>
        <w:sz w:val="24"/>
      </w:rPr>
    </w:lvl>
  </w:abstractNum>
  <w:abstractNum w:abstractNumId="7" w15:restartNumberingAfterBreak="0">
    <w:nsid w:val="370902FB"/>
    <w:multiLevelType w:val="multilevel"/>
    <w:tmpl w:val="30E87E10"/>
    <w:lvl w:ilvl="0">
      <w:start w:val="4"/>
      <w:numFmt w:val="decimal"/>
      <w:lvlText w:val="%1"/>
      <w:lvlJc w:val="left"/>
      <w:pPr>
        <w:ind w:left="552" w:hanging="552"/>
      </w:pPr>
      <w:rPr>
        <w:rFonts w:eastAsia="Times New Roman" w:cs="Times New Roman" w:hint="default"/>
        <w:b/>
        <w:sz w:val="24"/>
      </w:rPr>
    </w:lvl>
    <w:lvl w:ilvl="1">
      <w:start w:val="2"/>
      <w:numFmt w:val="decimal"/>
      <w:lvlText w:val="%1.%2"/>
      <w:lvlJc w:val="left"/>
      <w:pPr>
        <w:ind w:left="552" w:hanging="552"/>
      </w:pPr>
      <w:rPr>
        <w:rFonts w:eastAsia="Times New Roman" w:cs="Times New Roman" w:hint="default"/>
        <w:b/>
        <w:sz w:val="24"/>
      </w:rPr>
    </w:lvl>
    <w:lvl w:ilvl="2">
      <w:start w:val="5"/>
      <w:numFmt w:val="decimal"/>
      <w:lvlText w:val="%1.%2.%3"/>
      <w:lvlJc w:val="left"/>
      <w:pPr>
        <w:ind w:left="720" w:hanging="720"/>
      </w:pPr>
      <w:rPr>
        <w:rFonts w:eastAsia="Times New Roman" w:cs="Times New Roman" w:hint="default"/>
        <w:b w:val="0"/>
        <w:bCs/>
        <w:sz w:val="24"/>
      </w:rPr>
    </w:lvl>
    <w:lvl w:ilvl="3">
      <w:start w:val="1"/>
      <w:numFmt w:val="decimal"/>
      <w:lvlText w:val="%1.%2.%3.%4"/>
      <w:lvlJc w:val="left"/>
      <w:pPr>
        <w:ind w:left="1080" w:hanging="1080"/>
      </w:pPr>
      <w:rPr>
        <w:rFonts w:eastAsia="Times New Roman" w:cs="Times New Roman" w:hint="default"/>
        <w:b/>
        <w:sz w:val="24"/>
      </w:rPr>
    </w:lvl>
    <w:lvl w:ilvl="4">
      <w:start w:val="1"/>
      <w:numFmt w:val="decimal"/>
      <w:lvlText w:val="%1.%2.%3.%4.%5"/>
      <w:lvlJc w:val="left"/>
      <w:pPr>
        <w:ind w:left="1080" w:hanging="1080"/>
      </w:pPr>
      <w:rPr>
        <w:rFonts w:eastAsia="Times New Roman" w:cs="Times New Roman" w:hint="default"/>
        <w:b/>
        <w:sz w:val="24"/>
      </w:rPr>
    </w:lvl>
    <w:lvl w:ilvl="5">
      <w:start w:val="1"/>
      <w:numFmt w:val="decimal"/>
      <w:lvlText w:val="%1.%2.%3.%4.%5.%6"/>
      <w:lvlJc w:val="left"/>
      <w:pPr>
        <w:ind w:left="1440" w:hanging="1440"/>
      </w:pPr>
      <w:rPr>
        <w:rFonts w:eastAsia="Times New Roman" w:cs="Times New Roman" w:hint="default"/>
        <w:b/>
        <w:sz w:val="24"/>
      </w:rPr>
    </w:lvl>
    <w:lvl w:ilvl="6">
      <w:start w:val="1"/>
      <w:numFmt w:val="decimal"/>
      <w:lvlText w:val="%1.%2.%3.%4.%5.%6.%7"/>
      <w:lvlJc w:val="left"/>
      <w:pPr>
        <w:ind w:left="1440" w:hanging="1440"/>
      </w:pPr>
      <w:rPr>
        <w:rFonts w:eastAsia="Times New Roman" w:cs="Times New Roman" w:hint="default"/>
        <w:b/>
        <w:sz w:val="24"/>
      </w:rPr>
    </w:lvl>
    <w:lvl w:ilvl="7">
      <w:start w:val="1"/>
      <w:numFmt w:val="decimal"/>
      <w:lvlText w:val="%1.%2.%3.%4.%5.%6.%7.%8"/>
      <w:lvlJc w:val="left"/>
      <w:pPr>
        <w:ind w:left="1800" w:hanging="1800"/>
      </w:pPr>
      <w:rPr>
        <w:rFonts w:eastAsia="Times New Roman" w:cs="Times New Roman" w:hint="default"/>
        <w:b/>
        <w:sz w:val="24"/>
      </w:rPr>
    </w:lvl>
    <w:lvl w:ilvl="8">
      <w:start w:val="1"/>
      <w:numFmt w:val="decimal"/>
      <w:lvlText w:val="%1.%2.%3.%4.%5.%6.%7.%8.%9"/>
      <w:lvlJc w:val="left"/>
      <w:pPr>
        <w:ind w:left="1800" w:hanging="1800"/>
      </w:pPr>
      <w:rPr>
        <w:rFonts w:eastAsia="Times New Roman" w:cs="Times New Roman" w:hint="default"/>
        <w:b/>
        <w:sz w:val="24"/>
      </w:rPr>
    </w:lvl>
  </w:abstractNum>
  <w:abstractNum w:abstractNumId="8" w15:restartNumberingAfterBreak="0">
    <w:nsid w:val="3A05055F"/>
    <w:multiLevelType w:val="multilevel"/>
    <w:tmpl w:val="6F22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0548D"/>
    <w:multiLevelType w:val="hybridMultilevel"/>
    <w:tmpl w:val="030AD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E0A39"/>
    <w:multiLevelType w:val="hybridMultilevel"/>
    <w:tmpl w:val="C620666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3FBE1294"/>
    <w:multiLevelType w:val="hybridMultilevel"/>
    <w:tmpl w:val="ED00E0C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3FD34711"/>
    <w:multiLevelType w:val="multilevel"/>
    <w:tmpl w:val="27B49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F24941"/>
    <w:multiLevelType w:val="hybridMultilevel"/>
    <w:tmpl w:val="2EFA791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4B862AE7"/>
    <w:multiLevelType w:val="hybridMultilevel"/>
    <w:tmpl w:val="550E8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BEF4BFE"/>
    <w:multiLevelType w:val="hybridMultilevel"/>
    <w:tmpl w:val="CABE7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107D4"/>
    <w:multiLevelType w:val="hybridMultilevel"/>
    <w:tmpl w:val="2DF22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041F81"/>
    <w:multiLevelType w:val="multilevel"/>
    <w:tmpl w:val="9A7E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D4BF9"/>
    <w:multiLevelType w:val="hybridMultilevel"/>
    <w:tmpl w:val="AA08A1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A7A3E3D"/>
    <w:multiLevelType w:val="hybridMultilevel"/>
    <w:tmpl w:val="01603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411FAB"/>
    <w:multiLevelType w:val="multilevel"/>
    <w:tmpl w:val="19A6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F3566D"/>
    <w:multiLevelType w:val="multilevel"/>
    <w:tmpl w:val="9B8819A0"/>
    <w:lvl w:ilvl="0">
      <w:start w:val="1"/>
      <w:numFmt w:val="bullet"/>
      <w:lvlText w:val=""/>
      <w:lvlJc w:val="left"/>
      <w:pPr>
        <w:tabs>
          <w:tab w:val="num" w:pos="1275"/>
        </w:tabs>
        <w:ind w:left="1275" w:hanging="360"/>
      </w:pPr>
      <w:rPr>
        <w:rFonts w:ascii="Symbol" w:hAnsi="Symbol" w:hint="default"/>
        <w:sz w:val="20"/>
      </w:rPr>
    </w:lvl>
    <w:lvl w:ilvl="1" w:tentative="1">
      <w:start w:val="1"/>
      <w:numFmt w:val="bullet"/>
      <w:lvlText w:val=""/>
      <w:lvlJc w:val="left"/>
      <w:pPr>
        <w:tabs>
          <w:tab w:val="num" w:pos="1995"/>
        </w:tabs>
        <w:ind w:left="1995" w:hanging="360"/>
      </w:pPr>
      <w:rPr>
        <w:rFonts w:ascii="Symbol" w:hAnsi="Symbol" w:hint="default"/>
        <w:sz w:val="20"/>
      </w:rPr>
    </w:lvl>
    <w:lvl w:ilvl="2" w:tentative="1">
      <w:start w:val="1"/>
      <w:numFmt w:val="bullet"/>
      <w:lvlText w:val=""/>
      <w:lvlJc w:val="left"/>
      <w:pPr>
        <w:tabs>
          <w:tab w:val="num" w:pos="2715"/>
        </w:tabs>
        <w:ind w:left="2715" w:hanging="360"/>
      </w:pPr>
      <w:rPr>
        <w:rFonts w:ascii="Symbol" w:hAnsi="Symbol" w:hint="default"/>
        <w:sz w:val="20"/>
      </w:rPr>
    </w:lvl>
    <w:lvl w:ilvl="3" w:tentative="1">
      <w:start w:val="1"/>
      <w:numFmt w:val="bullet"/>
      <w:lvlText w:val=""/>
      <w:lvlJc w:val="left"/>
      <w:pPr>
        <w:tabs>
          <w:tab w:val="num" w:pos="3435"/>
        </w:tabs>
        <w:ind w:left="3435" w:hanging="360"/>
      </w:pPr>
      <w:rPr>
        <w:rFonts w:ascii="Symbol" w:hAnsi="Symbol" w:hint="default"/>
        <w:sz w:val="20"/>
      </w:rPr>
    </w:lvl>
    <w:lvl w:ilvl="4" w:tentative="1">
      <w:start w:val="1"/>
      <w:numFmt w:val="bullet"/>
      <w:lvlText w:val=""/>
      <w:lvlJc w:val="left"/>
      <w:pPr>
        <w:tabs>
          <w:tab w:val="num" w:pos="4155"/>
        </w:tabs>
        <w:ind w:left="4155" w:hanging="360"/>
      </w:pPr>
      <w:rPr>
        <w:rFonts w:ascii="Symbol" w:hAnsi="Symbol" w:hint="default"/>
        <w:sz w:val="20"/>
      </w:rPr>
    </w:lvl>
    <w:lvl w:ilvl="5" w:tentative="1">
      <w:start w:val="1"/>
      <w:numFmt w:val="bullet"/>
      <w:lvlText w:val=""/>
      <w:lvlJc w:val="left"/>
      <w:pPr>
        <w:tabs>
          <w:tab w:val="num" w:pos="4875"/>
        </w:tabs>
        <w:ind w:left="4875" w:hanging="360"/>
      </w:pPr>
      <w:rPr>
        <w:rFonts w:ascii="Symbol" w:hAnsi="Symbol" w:hint="default"/>
        <w:sz w:val="20"/>
      </w:rPr>
    </w:lvl>
    <w:lvl w:ilvl="6" w:tentative="1">
      <w:start w:val="1"/>
      <w:numFmt w:val="bullet"/>
      <w:lvlText w:val=""/>
      <w:lvlJc w:val="left"/>
      <w:pPr>
        <w:tabs>
          <w:tab w:val="num" w:pos="5595"/>
        </w:tabs>
        <w:ind w:left="5595" w:hanging="360"/>
      </w:pPr>
      <w:rPr>
        <w:rFonts w:ascii="Symbol" w:hAnsi="Symbol" w:hint="default"/>
        <w:sz w:val="20"/>
      </w:rPr>
    </w:lvl>
    <w:lvl w:ilvl="7" w:tentative="1">
      <w:start w:val="1"/>
      <w:numFmt w:val="bullet"/>
      <w:lvlText w:val=""/>
      <w:lvlJc w:val="left"/>
      <w:pPr>
        <w:tabs>
          <w:tab w:val="num" w:pos="6315"/>
        </w:tabs>
        <w:ind w:left="6315" w:hanging="360"/>
      </w:pPr>
      <w:rPr>
        <w:rFonts w:ascii="Symbol" w:hAnsi="Symbol" w:hint="default"/>
        <w:sz w:val="20"/>
      </w:rPr>
    </w:lvl>
    <w:lvl w:ilvl="8" w:tentative="1">
      <w:start w:val="1"/>
      <w:numFmt w:val="bullet"/>
      <w:lvlText w:val=""/>
      <w:lvlJc w:val="left"/>
      <w:pPr>
        <w:tabs>
          <w:tab w:val="num" w:pos="7035"/>
        </w:tabs>
        <w:ind w:left="7035" w:hanging="360"/>
      </w:pPr>
      <w:rPr>
        <w:rFonts w:ascii="Symbol" w:hAnsi="Symbol" w:hint="default"/>
        <w:sz w:val="20"/>
      </w:rPr>
    </w:lvl>
  </w:abstractNum>
  <w:abstractNum w:abstractNumId="22" w15:restartNumberingAfterBreak="0">
    <w:nsid w:val="68D63441"/>
    <w:multiLevelType w:val="hybridMultilevel"/>
    <w:tmpl w:val="A740F00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3" w15:restartNumberingAfterBreak="0">
    <w:nsid w:val="690D6A6C"/>
    <w:multiLevelType w:val="hybridMultilevel"/>
    <w:tmpl w:val="F2D0DF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93D1967"/>
    <w:multiLevelType w:val="hybridMultilevel"/>
    <w:tmpl w:val="A56CCB2C"/>
    <w:lvl w:ilvl="0" w:tplc="04090005">
      <w:start w:val="1"/>
      <w:numFmt w:val="bullet"/>
      <w:lvlText w:val=""/>
      <w:lvlJc w:val="left"/>
      <w:pPr>
        <w:ind w:left="1440" w:hanging="360"/>
      </w:pPr>
      <w:rPr>
        <w:rFonts w:ascii="Wingdings" w:hAnsi="Wingdings" w:hint="default"/>
      </w:rPr>
    </w:lvl>
    <w:lvl w:ilvl="1" w:tplc="DAA8D6F0">
      <w:numFmt w:val="bullet"/>
      <w:lvlText w:val="•"/>
      <w:lvlJc w:val="left"/>
      <w:pPr>
        <w:ind w:left="2520" w:hanging="720"/>
      </w:pPr>
      <w:rPr>
        <w:rFonts w:ascii="Footlight MT Light" w:eastAsiaTheme="minorEastAsia" w:hAnsi="Footlight MT Light"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576C2E"/>
    <w:multiLevelType w:val="multilevel"/>
    <w:tmpl w:val="EA72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FE7AB7"/>
    <w:multiLevelType w:val="multilevel"/>
    <w:tmpl w:val="3AF6500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15:restartNumberingAfterBreak="0">
    <w:nsid w:val="6C6108EF"/>
    <w:multiLevelType w:val="hybridMultilevel"/>
    <w:tmpl w:val="B480096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D7334A3"/>
    <w:multiLevelType w:val="hybridMultilevel"/>
    <w:tmpl w:val="0632032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9" w15:restartNumberingAfterBreak="0">
    <w:nsid w:val="71B50FC9"/>
    <w:multiLevelType w:val="multilevel"/>
    <w:tmpl w:val="75606394"/>
    <w:lvl w:ilvl="0">
      <w:start w:val="4"/>
      <w:numFmt w:val="decimal"/>
      <w:lvlText w:val="%1."/>
      <w:lvlJc w:val="left"/>
      <w:pPr>
        <w:ind w:left="420" w:hanging="420"/>
      </w:pPr>
      <w:rPr>
        <w:rFonts w:eastAsia="Times New Roman" w:cs="Times New Roman" w:hint="default"/>
        <w:b/>
        <w:sz w:val="24"/>
      </w:rPr>
    </w:lvl>
    <w:lvl w:ilvl="1">
      <w:start w:val="2"/>
      <w:numFmt w:val="decimal"/>
      <w:lvlText w:val="%1.%2."/>
      <w:lvlJc w:val="left"/>
      <w:pPr>
        <w:ind w:left="720" w:hanging="720"/>
      </w:pPr>
      <w:rPr>
        <w:rFonts w:eastAsia="Times New Roman" w:cs="Times New Roman" w:hint="default"/>
        <w:b/>
        <w:sz w:val="24"/>
      </w:rPr>
    </w:lvl>
    <w:lvl w:ilvl="2">
      <w:start w:val="1"/>
      <w:numFmt w:val="decimal"/>
      <w:lvlText w:val="%1.%2.%3."/>
      <w:lvlJc w:val="left"/>
      <w:pPr>
        <w:ind w:left="720" w:hanging="720"/>
      </w:pPr>
      <w:rPr>
        <w:rFonts w:eastAsia="Times New Roman" w:cs="Times New Roman" w:hint="default"/>
        <w:b/>
        <w:sz w:val="24"/>
      </w:rPr>
    </w:lvl>
    <w:lvl w:ilvl="3">
      <w:start w:val="1"/>
      <w:numFmt w:val="decimal"/>
      <w:lvlText w:val="%1.%2.%3.%4."/>
      <w:lvlJc w:val="left"/>
      <w:pPr>
        <w:ind w:left="1080" w:hanging="1080"/>
      </w:pPr>
      <w:rPr>
        <w:rFonts w:eastAsia="Times New Roman" w:cs="Times New Roman" w:hint="default"/>
        <w:b/>
        <w:sz w:val="24"/>
      </w:rPr>
    </w:lvl>
    <w:lvl w:ilvl="4">
      <w:start w:val="1"/>
      <w:numFmt w:val="decimal"/>
      <w:lvlText w:val="%1.%2.%3.%4.%5."/>
      <w:lvlJc w:val="left"/>
      <w:pPr>
        <w:ind w:left="1080" w:hanging="1080"/>
      </w:pPr>
      <w:rPr>
        <w:rFonts w:eastAsia="Times New Roman" w:cs="Times New Roman" w:hint="default"/>
        <w:b/>
        <w:sz w:val="24"/>
      </w:rPr>
    </w:lvl>
    <w:lvl w:ilvl="5">
      <w:start w:val="1"/>
      <w:numFmt w:val="decimal"/>
      <w:lvlText w:val="%1.%2.%3.%4.%5.%6."/>
      <w:lvlJc w:val="left"/>
      <w:pPr>
        <w:ind w:left="1440" w:hanging="1440"/>
      </w:pPr>
      <w:rPr>
        <w:rFonts w:eastAsia="Times New Roman" w:cs="Times New Roman" w:hint="default"/>
        <w:b/>
        <w:sz w:val="24"/>
      </w:rPr>
    </w:lvl>
    <w:lvl w:ilvl="6">
      <w:start w:val="1"/>
      <w:numFmt w:val="decimal"/>
      <w:lvlText w:val="%1.%2.%3.%4.%5.%6.%7."/>
      <w:lvlJc w:val="left"/>
      <w:pPr>
        <w:ind w:left="1440" w:hanging="1440"/>
      </w:pPr>
      <w:rPr>
        <w:rFonts w:eastAsia="Times New Roman" w:cs="Times New Roman" w:hint="default"/>
        <w:b/>
        <w:sz w:val="24"/>
      </w:rPr>
    </w:lvl>
    <w:lvl w:ilvl="7">
      <w:start w:val="1"/>
      <w:numFmt w:val="decimal"/>
      <w:lvlText w:val="%1.%2.%3.%4.%5.%6.%7.%8."/>
      <w:lvlJc w:val="left"/>
      <w:pPr>
        <w:ind w:left="1800" w:hanging="1800"/>
      </w:pPr>
      <w:rPr>
        <w:rFonts w:eastAsia="Times New Roman" w:cs="Times New Roman" w:hint="default"/>
        <w:b/>
        <w:sz w:val="24"/>
      </w:rPr>
    </w:lvl>
    <w:lvl w:ilvl="8">
      <w:start w:val="1"/>
      <w:numFmt w:val="decimal"/>
      <w:lvlText w:val="%1.%2.%3.%4.%5.%6.%7.%8.%9."/>
      <w:lvlJc w:val="left"/>
      <w:pPr>
        <w:ind w:left="1800" w:hanging="1800"/>
      </w:pPr>
      <w:rPr>
        <w:rFonts w:eastAsia="Times New Roman" w:cs="Times New Roman" w:hint="default"/>
        <w:b/>
        <w:sz w:val="24"/>
      </w:rPr>
    </w:lvl>
  </w:abstractNum>
  <w:abstractNum w:abstractNumId="30" w15:restartNumberingAfterBreak="0">
    <w:nsid w:val="724B6672"/>
    <w:multiLevelType w:val="hybridMultilevel"/>
    <w:tmpl w:val="F89C3C4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1" w15:restartNumberingAfterBreak="0">
    <w:nsid w:val="745C4495"/>
    <w:multiLevelType w:val="hybridMultilevel"/>
    <w:tmpl w:val="752A3D80"/>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9575A15"/>
    <w:multiLevelType w:val="multilevel"/>
    <w:tmpl w:val="2AD6DD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 w15:restartNumberingAfterBreak="0">
    <w:nsid w:val="7ADD343A"/>
    <w:multiLevelType w:val="hybridMultilevel"/>
    <w:tmpl w:val="80DE5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5250371">
    <w:abstractNumId w:val="24"/>
  </w:num>
  <w:num w:numId="2" w16cid:durableId="2048795679">
    <w:abstractNumId w:val="33"/>
  </w:num>
  <w:num w:numId="3" w16cid:durableId="1547452709">
    <w:abstractNumId w:val="27"/>
  </w:num>
  <w:num w:numId="4" w16cid:durableId="875387769">
    <w:abstractNumId w:val="8"/>
  </w:num>
  <w:num w:numId="5" w16cid:durableId="2061898551">
    <w:abstractNumId w:val="25"/>
  </w:num>
  <w:num w:numId="6" w16cid:durableId="2114939105">
    <w:abstractNumId w:val="17"/>
  </w:num>
  <w:num w:numId="7" w16cid:durableId="680161489">
    <w:abstractNumId w:val="1"/>
  </w:num>
  <w:num w:numId="8" w16cid:durableId="1339036846">
    <w:abstractNumId w:val="16"/>
  </w:num>
  <w:num w:numId="9" w16cid:durableId="654190653">
    <w:abstractNumId w:val="15"/>
  </w:num>
  <w:num w:numId="10" w16cid:durableId="468324552">
    <w:abstractNumId w:val="9"/>
  </w:num>
  <w:num w:numId="11" w16cid:durableId="1745643336">
    <w:abstractNumId w:val="19"/>
  </w:num>
  <w:num w:numId="12" w16cid:durableId="1525904104">
    <w:abstractNumId w:val="0"/>
  </w:num>
  <w:num w:numId="13" w16cid:durableId="966198358">
    <w:abstractNumId w:val="12"/>
  </w:num>
  <w:num w:numId="14" w16cid:durableId="1116950492">
    <w:abstractNumId w:val="2"/>
  </w:num>
  <w:num w:numId="15" w16cid:durableId="589631017">
    <w:abstractNumId w:val="20"/>
  </w:num>
  <w:num w:numId="16" w16cid:durableId="969944624">
    <w:abstractNumId w:val="3"/>
  </w:num>
  <w:num w:numId="17" w16cid:durableId="1021395980">
    <w:abstractNumId w:val="13"/>
  </w:num>
  <w:num w:numId="18" w16cid:durableId="1934974837">
    <w:abstractNumId w:val="26"/>
  </w:num>
  <w:num w:numId="19" w16cid:durableId="699281244">
    <w:abstractNumId w:val="21"/>
  </w:num>
  <w:num w:numId="20" w16cid:durableId="40525331">
    <w:abstractNumId w:val="14"/>
  </w:num>
  <w:num w:numId="21" w16cid:durableId="1395545072">
    <w:abstractNumId w:val="23"/>
  </w:num>
  <w:num w:numId="22" w16cid:durableId="505556002">
    <w:abstractNumId w:val="32"/>
  </w:num>
  <w:num w:numId="23" w16cid:durableId="2061200273">
    <w:abstractNumId w:val="6"/>
  </w:num>
  <w:num w:numId="24" w16cid:durableId="1494183853">
    <w:abstractNumId w:val="29"/>
  </w:num>
  <w:num w:numId="25" w16cid:durableId="1584797710">
    <w:abstractNumId w:val="7"/>
  </w:num>
  <w:num w:numId="26" w16cid:durableId="1140919854">
    <w:abstractNumId w:val="31"/>
  </w:num>
  <w:num w:numId="27" w16cid:durableId="1161311373">
    <w:abstractNumId w:val="5"/>
  </w:num>
  <w:num w:numId="28" w16cid:durableId="993800720">
    <w:abstractNumId w:val="11"/>
  </w:num>
  <w:num w:numId="29" w16cid:durableId="132715865">
    <w:abstractNumId w:val="4"/>
  </w:num>
  <w:num w:numId="30" w16cid:durableId="171261698">
    <w:abstractNumId w:val="22"/>
  </w:num>
  <w:num w:numId="31" w16cid:durableId="1738355060">
    <w:abstractNumId w:val="18"/>
  </w:num>
  <w:num w:numId="32" w16cid:durableId="1245534096">
    <w:abstractNumId w:val="30"/>
  </w:num>
  <w:num w:numId="33" w16cid:durableId="1898779977">
    <w:abstractNumId w:val="10"/>
  </w:num>
  <w:num w:numId="34" w16cid:durableId="5570840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68"/>
    <w:rsid w:val="000039C1"/>
    <w:rsid w:val="0003518C"/>
    <w:rsid w:val="0005251D"/>
    <w:rsid w:val="000734EE"/>
    <w:rsid w:val="00092F5C"/>
    <w:rsid w:val="000B1A91"/>
    <w:rsid w:val="000D6B43"/>
    <w:rsid w:val="000F155C"/>
    <w:rsid w:val="00152881"/>
    <w:rsid w:val="00164523"/>
    <w:rsid w:val="0016612A"/>
    <w:rsid w:val="001663BC"/>
    <w:rsid w:val="00172C4E"/>
    <w:rsid w:val="00187695"/>
    <w:rsid w:val="001C41E6"/>
    <w:rsid w:val="001D22D8"/>
    <w:rsid w:val="001D2BF4"/>
    <w:rsid w:val="001F1F85"/>
    <w:rsid w:val="001F50C2"/>
    <w:rsid w:val="00223724"/>
    <w:rsid w:val="00232E9E"/>
    <w:rsid w:val="0023533E"/>
    <w:rsid w:val="00236AFC"/>
    <w:rsid w:val="00252C10"/>
    <w:rsid w:val="00252F9E"/>
    <w:rsid w:val="00290913"/>
    <w:rsid w:val="0029430F"/>
    <w:rsid w:val="002A2999"/>
    <w:rsid w:val="002B379D"/>
    <w:rsid w:val="002C4C68"/>
    <w:rsid w:val="002D7C44"/>
    <w:rsid w:val="002E277B"/>
    <w:rsid w:val="00335BD5"/>
    <w:rsid w:val="00397D09"/>
    <w:rsid w:val="003D6F07"/>
    <w:rsid w:val="003F0778"/>
    <w:rsid w:val="003F0B9A"/>
    <w:rsid w:val="004607D6"/>
    <w:rsid w:val="004667AD"/>
    <w:rsid w:val="00494DCC"/>
    <w:rsid w:val="004977CD"/>
    <w:rsid w:val="004A7540"/>
    <w:rsid w:val="004B1B2C"/>
    <w:rsid w:val="004B5C86"/>
    <w:rsid w:val="004D7EAE"/>
    <w:rsid w:val="004F53A5"/>
    <w:rsid w:val="004F7F64"/>
    <w:rsid w:val="00516AA0"/>
    <w:rsid w:val="0051722A"/>
    <w:rsid w:val="005638F8"/>
    <w:rsid w:val="00586647"/>
    <w:rsid w:val="005949AE"/>
    <w:rsid w:val="0059579F"/>
    <w:rsid w:val="005A684F"/>
    <w:rsid w:val="005C510D"/>
    <w:rsid w:val="005F1EF5"/>
    <w:rsid w:val="006401FD"/>
    <w:rsid w:val="00652AE0"/>
    <w:rsid w:val="00660A6B"/>
    <w:rsid w:val="006676A3"/>
    <w:rsid w:val="0067061B"/>
    <w:rsid w:val="00675A4E"/>
    <w:rsid w:val="006A679B"/>
    <w:rsid w:val="006B5EC7"/>
    <w:rsid w:val="006E69D2"/>
    <w:rsid w:val="006E7F15"/>
    <w:rsid w:val="00734B43"/>
    <w:rsid w:val="0075734B"/>
    <w:rsid w:val="00767731"/>
    <w:rsid w:val="00771169"/>
    <w:rsid w:val="0077216A"/>
    <w:rsid w:val="007860AF"/>
    <w:rsid w:val="00795435"/>
    <w:rsid w:val="007964E3"/>
    <w:rsid w:val="00796C8D"/>
    <w:rsid w:val="007D7633"/>
    <w:rsid w:val="007D7C68"/>
    <w:rsid w:val="007F3D26"/>
    <w:rsid w:val="008000A8"/>
    <w:rsid w:val="00806383"/>
    <w:rsid w:val="00830824"/>
    <w:rsid w:val="00837934"/>
    <w:rsid w:val="00843F16"/>
    <w:rsid w:val="008559BC"/>
    <w:rsid w:val="00860BAF"/>
    <w:rsid w:val="0086481C"/>
    <w:rsid w:val="008A60A1"/>
    <w:rsid w:val="008B1EF5"/>
    <w:rsid w:val="008C4308"/>
    <w:rsid w:val="008C63FE"/>
    <w:rsid w:val="008D7548"/>
    <w:rsid w:val="008D7E32"/>
    <w:rsid w:val="008F3683"/>
    <w:rsid w:val="0093100D"/>
    <w:rsid w:val="00977EF7"/>
    <w:rsid w:val="00991D7B"/>
    <w:rsid w:val="009A5A66"/>
    <w:rsid w:val="009A6FF3"/>
    <w:rsid w:val="009B3637"/>
    <w:rsid w:val="009D2881"/>
    <w:rsid w:val="009E5197"/>
    <w:rsid w:val="009E75CE"/>
    <w:rsid w:val="009F58D5"/>
    <w:rsid w:val="00A367B2"/>
    <w:rsid w:val="00A36F10"/>
    <w:rsid w:val="00A46A40"/>
    <w:rsid w:val="00A770D5"/>
    <w:rsid w:val="00A819E9"/>
    <w:rsid w:val="00A8761C"/>
    <w:rsid w:val="00AA2A8F"/>
    <w:rsid w:val="00AB0DE7"/>
    <w:rsid w:val="00AD7A6C"/>
    <w:rsid w:val="00B00468"/>
    <w:rsid w:val="00B139AA"/>
    <w:rsid w:val="00B531CF"/>
    <w:rsid w:val="00B61C9A"/>
    <w:rsid w:val="00B638E3"/>
    <w:rsid w:val="00BB63CE"/>
    <w:rsid w:val="00BB674E"/>
    <w:rsid w:val="00BE3AF8"/>
    <w:rsid w:val="00BF71E8"/>
    <w:rsid w:val="00C41C2B"/>
    <w:rsid w:val="00C42C27"/>
    <w:rsid w:val="00C54E54"/>
    <w:rsid w:val="00C55BE9"/>
    <w:rsid w:val="00C602EB"/>
    <w:rsid w:val="00C618ED"/>
    <w:rsid w:val="00C75A2D"/>
    <w:rsid w:val="00C96F50"/>
    <w:rsid w:val="00CB2163"/>
    <w:rsid w:val="00CD01EB"/>
    <w:rsid w:val="00D12EE5"/>
    <w:rsid w:val="00D17630"/>
    <w:rsid w:val="00D25F15"/>
    <w:rsid w:val="00D31CDE"/>
    <w:rsid w:val="00D54CE7"/>
    <w:rsid w:val="00D56EE4"/>
    <w:rsid w:val="00D725CB"/>
    <w:rsid w:val="00D9774A"/>
    <w:rsid w:val="00DB3FA5"/>
    <w:rsid w:val="00E13313"/>
    <w:rsid w:val="00E3430B"/>
    <w:rsid w:val="00E45062"/>
    <w:rsid w:val="00E766F4"/>
    <w:rsid w:val="00E90508"/>
    <w:rsid w:val="00ED44AC"/>
    <w:rsid w:val="00ED4F42"/>
    <w:rsid w:val="00EF1BE9"/>
    <w:rsid w:val="00F152F7"/>
    <w:rsid w:val="00F23158"/>
    <w:rsid w:val="00F34396"/>
    <w:rsid w:val="00F470B2"/>
    <w:rsid w:val="00F47FDA"/>
    <w:rsid w:val="00F84ADE"/>
    <w:rsid w:val="00F8603C"/>
    <w:rsid w:val="00FC3306"/>
    <w:rsid w:val="00FC3C4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0B5D"/>
  <w15:chartTrackingRefBased/>
  <w15:docId w15:val="{5DB5AEEA-80A8-443B-ACFE-C99CA222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E54"/>
    <w:rPr>
      <w:rFonts w:eastAsiaTheme="minorEastAsia"/>
      <w:lang w:val="en-US" w:eastAsia="zh-CN"/>
    </w:rPr>
  </w:style>
  <w:style w:type="paragraph" w:styleId="Heading1">
    <w:name w:val="heading 1"/>
    <w:basedOn w:val="Normal"/>
    <w:next w:val="Normal"/>
    <w:link w:val="Heading1Char"/>
    <w:uiPriority w:val="9"/>
    <w:qFormat/>
    <w:rsid w:val="002C4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C68"/>
    <w:rPr>
      <w:rFonts w:eastAsiaTheme="majorEastAsia" w:cstheme="majorBidi"/>
      <w:color w:val="272727" w:themeColor="text1" w:themeTint="D8"/>
    </w:rPr>
  </w:style>
  <w:style w:type="paragraph" w:styleId="Title">
    <w:name w:val="Title"/>
    <w:basedOn w:val="Normal"/>
    <w:next w:val="Normal"/>
    <w:link w:val="TitleChar"/>
    <w:uiPriority w:val="10"/>
    <w:qFormat/>
    <w:rsid w:val="002C4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C68"/>
    <w:pPr>
      <w:spacing w:before="160"/>
      <w:jc w:val="center"/>
    </w:pPr>
    <w:rPr>
      <w:i/>
      <w:iCs/>
      <w:color w:val="404040" w:themeColor="text1" w:themeTint="BF"/>
    </w:rPr>
  </w:style>
  <w:style w:type="character" w:customStyle="1" w:styleId="QuoteChar">
    <w:name w:val="Quote Char"/>
    <w:basedOn w:val="DefaultParagraphFont"/>
    <w:link w:val="Quote"/>
    <w:uiPriority w:val="29"/>
    <w:rsid w:val="002C4C68"/>
    <w:rPr>
      <w:i/>
      <w:iCs/>
      <w:color w:val="404040" w:themeColor="text1" w:themeTint="BF"/>
    </w:rPr>
  </w:style>
  <w:style w:type="paragraph" w:styleId="ListParagraph">
    <w:name w:val="List Paragraph"/>
    <w:basedOn w:val="Normal"/>
    <w:uiPriority w:val="34"/>
    <w:qFormat/>
    <w:rsid w:val="002C4C68"/>
    <w:pPr>
      <w:ind w:left="720"/>
      <w:contextualSpacing/>
    </w:pPr>
  </w:style>
  <w:style w:type="character" w:styleId="IntenseEmphasis">
    <w:name w:val="Intense Emphasis"/>
    <w:basedOn w:val="DefaultParagraphFont"/>
    <w:uiPriority w:val="21"/>
    <w:qFormat/>
    <w:rsid w:val="002C4C68"/>
    <w:rPr>
      <w:i/>
      <w:iCs/>
      <w:color w:val="0F4761" w:themeColor="accent1" w:themeShade="BF"/>
    </w:rPr>
  </w:style>
  <w:style w:type="paragraph" w:styleId="IntenseQuote">
    <w:name w:val="Intense Quote"/>
    <w:basedOn w:val="Normal"/>
    <w:next w:val="Normal"/>
    <w:link w:val="IntenseQuoteChar"/>
    <w:uiPriority w:val="30"/>
    <w:qFormat/>
    <w:rsid w:val="002C4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C68"/>
    <w:rPr>
      <w:i/>
      <w:iCs/>
      <w:color w:val="0F4761" w:themeColor="accent1" w:themeShade="BF"/>
    </w:rPr>
  </w:style>
  <w:style w:type="character" w:styleId="IntenseReference">
    <w:name w:val="Intense Reference"/>
    <w:basedOn w:val="DefaultParagraphFont"/>
    <w:uiPriority w:val="32"/>
    <w:qFormat/>
    <w:rsid w:val="002C4C68"/>
    <w:rPr>
      <w:b/>
      <w:bCs/>
      <w:smallCaps/>
      <w:color w:val="0F4761" w:themeColor="accent1" w:themeShade="BF"/>
      <w:spacing w:val="5"/>
    </w:rPr>
  </w:style>
  <w:style w:type="character" w:styleId="Hyperlink">
    <w:name w:val="Hyperlink"/>
    <w:basedOn w:val="DefaultParagraphFont"/>
    <w:uiPriority w:val="99"/>
    <w:unhideWhenUsed/>
    <w:rsid w:val="006676A3"/>
    <w:rPr>
      <w:color w:val="467886" w:themeColor="hyperlink"/>
      <w:u w:val="single"/>
    </w:rPr>
  </w:style>
  <w:style w:type="table" w:styleId="GridTable4-Accent6">
    <w:name w:val="Grid Table 4 Accent 6"/>
    <w:basedOn w:val="TableNormal"/>
    <w:uiPriority w:val="49"/>
    <w:rsid w:val="006676A3"/>
    <w:pPr>
      <w:spacing w:after="0" w:line="240" w:lineRule="auto"/>
    </w:pPr>
    <w:rPr>
      <w:kern w:val="0"/>
      <w:lang w:val="en-US"/>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Grid1">
    <w:name w:val="Table Grid1"/>
    <w:basedOn w:val="TableNormal"/>
    <w:next w:val="TableGrid"/>
    <w:uiPriority w:val="39"/>
    <w:rsid w:val="0018769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695"/>
    <w:rPr>
      <w:sz w:val="16"/>
      <w:szCs w:val="16"/>
    </w:rPr>
  </w:style>
  <w:style w:type="paragraph" w:customStyle="1" w:styleId="CommentText1">
    <w:name w:val="Comment Text1"/>
    <w:basedOn w:val="Normal"/>
    <w:next w:val="CommentText"/>
    <w:link w:val="CommentTextChar"/>
    <w:uiPriority w:val="99"/>
    <w:unhideWhenUsed/>
    <w:rsid w:val="00187695"/>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1"/>
    <w:uiPriority w:val="99"/>
    <w:rsid w:val="00187695"/>
    <w:rPr>
      <w:sz w:val="20"/>
      <w:szCs w:val="20"/>
    </w:rPr>
  </w:style>
  <w:style w:type="table" w:styleId="TableGrid">
    <w:name w:val="Table Grid"/>
    <w:basedOn w:val="TableNormal"/>
    <w:uiPriority w:val="39"/>
    <w:rsid w:val="0018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187695"/>
    <w:pPr>
      <w:spacing w:line="240" w:lineRule="auto"/>
    </w:pPr>
    <w:rPr>
      <w:sz w:val="20"/>
      <w:szCs w:val="20"/>
    </w:rPr>
  </w:style>
  <w:style w:type="character" w:customStyle="1" w:styleId="CommentTextChar1">
    <w:name w:val="Comment Text Char1"/>
    <w:basedOn w:val="DefaultParagraphFont"/>
    <w:link w:val="CommentText"/>
    <w:uiPriority w:val="99"/>
    <w:semiHidden/>
    <w:rsid w:val="00187695"/>
    <w:rPr>
      <w:rFonts w:eastAsiaTheme="minorEastAsia"/>
      <w:sz w:val="20"/>
      <w:szCs w:val="20"/>
      <w:lang w:val="en-US" w:eastAsia="zh-CN"/>
    </w:rPr>
  </w:style>
  <w:style w:type="table" w:styleId="GridTable6Colorful-Accent6">
    <w:name w:val="Grid Table 6 Colorful Accent 6"/>
    <w:basedOn w:val="TableNormal"/>
    <w:uiPriority w:val="51"/>
    <w:rsid w:val="009E5197"/>
    <w:pPr>
      <w:spacing w:after="0" w:line="240" w:lineRule="auto"/>
    </w:pPr>
    <w:rPr>
      <w:color w:val="3A7C22" w:themeColor="accent6" w:themeShade="BF"/>
      <w:sz w:val="24"/>
      <w:szCs w:val="24"/>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cf01">
    <w:name w:val="cf01"/>
    <w:basedOn w:val="DefaultParagraphFont"/>
    <w:rsid w:val="00172C4E"/>
    <w:rPr>
      <w:rFonts w:ascii="Segoe UI" w:hAnsi="Segoe UI" w:cs="Segoe UI" w:hint="default"/>
      <w:sz w:val="18"/>
      <w:szCs w:val="18"/>
    </w:rPr>
  </w:style>
  <w:style w:type="character" w:styleId="UnresolvedMention">
    <w:name w:val="Unresolved Mention"/>
    <w:basedOn w:val="DefaultParagraphFont"/>
    <w:uiPriority w:val="99"/>
    <w:semiHidden/>
    <w:unhideWhenUsed/>
    <w:rsid w:val="001D22D8"/>
    <w:rPr>
      <w:color w:val="605E5C"/>
      <w:shd w:val="clear" w:color="auto" w:fill="E1DFDD"/>
    </w:rPr>
  </w:style>
  <w:style w:type="character" w:styleId="FollowedHyperlink">
    <w:name w:val="FollowedHyperlink"/>
    <w:basedOn w:val="DefaultParagraphFont"/>
    <w:uiPriority w:val="99"/>
    <w:semiHidden/>
    <w:unhideWhenUsed/>
    <w:rsid w:val="00B531CF"/>
    <w:rPr>
      <w:color w:val="96607D"/>
      <w:u w:val="single"/>
    </w:rPr>
  </w:style>
  <w:style w:type="paragraph" w:customStyle="1" w:styleId="msonormal0">
    <w:name w:val="msonormal"/>
    <w:basedOn w:val="Normal"/>
    <w:rsid w:val="00B531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5">
    <w:name w:val="font5"/>
    <w:basedOn w:val="Normal"/>
    <w:rsid w:val="00B531CF"/>
    <w:pPr>
      <w:spacing w:before="100" w:beforeAutospacing="1" w:after="100" w:afterAutospacing="1" w:line="240" w:lineRule="auto"/>
    </w:pPr>
    <w:rPr>
      <w:rFonts w:ascii="Footlight MT Light" w:eastAsia="Times New Roman" w:hAnsi="Footlight MT Light" w:cs="Times New Roman"/>
      <w:kern w:val="0"/>
      <w:u w:val="single"/>
      <w14:ligatures w14:val="none"/>
    </w:rPr>
  </w:style>
  <w:style w:type="paragraph" w:customStyle="1" w:styleId="font6">
    <w:name w:val="font6"/>
    <w:basedOn w:val="Normal"/>
    <w:rsid w:val="00B531CF"/>
    <w:pPr>
      <w:spacing w:before="100" w:beforeAutospacing="1" w:after="100" w:afterAutospacing="1" w:line="240" w:lineRule="auto"/>
    </w:pPr>
    <w:rPr>
      <w:rFonts w:ascii="Footlight MT Light" w:eastAsia="Times New Roman" w:hAnsi="Footlight MT Light" w:cs="Times New Roman"/>
      <w:kern w:val="0"/>
      <w14:ligatures w14:val="none"/>
    </w:rPr>
  </w:style>
  <w:style w:type="paragraph" w:customStyle="1" w:styleId="xl65">
    <w:name w:val="xl65"/>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14:ligatures w14:val="none"/>
    </w:rPr>
  </w:style>
  <w:style w:type="paragraph" w:customStyle="1" w:styleId="xl66">
    <w:name w:val="xl66"/>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14:ligatures w14:val="none"/>
    </w:rPr>
  </w:style>
  <w:style w:type="paragraph" w:customStyle="1" w:styleId="xl67">
    <w:name w:val="xl67"/>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68">
    <w:name w:val="xl68"/>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69">
    <w:name w:val="xl69"/>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14:ligatures w14:val="none"/>
    </w:rPr>
  </w:style>
  <w:style w:type="paragraph" w:customStyle="1" w:styleId="xl70">
    <w:name w:val="xl70"/>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b/>
      <w:bCs/>
      <w:i/>
      <w:iCs/>
      <w:kern w:val="0"/>
      <w:sz w:val="24"/>
      <w:szCs w:val="24"/>
      <w14:ligatures w14:val="none"/>
    </w:rPr>
  </w:style>
  <w:style w:type="paragraph" w:customStyle="1" w:styleId="xl71">
    <w:name w:val="xl71"/>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b/>
      <w:bCs/>
      <w:i/>
      <w:iCs/>
      <w:kern w:val="0"/>
      <w:sz w:val="24"/>
      <w:szCs w:val="24"/>
      <w14:ligatures w14:val="none"/>
    </w:rPr>
  </w:style>
  <w:style w:type="paragraph" w:customStyle="1" w:styleId="xl72">
    <w:name w:val="xl72"/>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14:ligatures w14:val="none"/>
    </w:rPr>
  </w:style>
  <w:style w:type="paragraph" w:customStyle="1" w:styleId="xl73">
    <w:name w:val="xl73"/>
    <w:basedOn w:val="Normal"/>
    <w:rsid w:val="00B531CF"/>
    <w:pPr>
      <w:pBdr>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74">
    <w:name w:val="xl74"/>
    <w:basedOn w:val="Normal"/>
    <w:rsid w:val="00B531CF"/>
    <w:pPr>
      <w:pBdr>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75">
    <w:name w:val="xl75"/>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76">
    <w:name w:val="xl76"/>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14:ligatures w14:val="none"/>
    </w:rPr>
  </w:style>
  <w:style w:type="paragraph" w:customStyle="1" w:styleId="xl77">
    <w:name w:val="xl77"/>
    <w:basedOn w:val="Normal"/>
    <w:rsid w:val="00B531CF"/>
    <w:pPr>
      <w:pBdr>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78">
    <w:name w:val="xl78"/>
    <w:basedOn w:val="Normal"/>
    <w:rsid w:val="00B531CF"/>
    <w:pPr>
      <w:pBdr>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79">
    <w:name w:val="xl79"/>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b/>
      <w:bCs/>
      <w:kern w:val="0"/>
      <w:sz w:val="36"/>
      <w:szCs w:val="36"/>
      <w14:ligatures w14:val="none"/>
    </w:rPr>
  </w:style>
  <w:style w:type="paragraph" w:customStyle="1" w:styleId="xl80">
    <w:name w:val="xl80"/>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81">
    <w:name w:val="xl81"/>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82">
    <w:name w:val="xl82"/>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14:ligatures w14:val="none"/>
    </w:rPr>
  </w:style>
  <w:style w:type="paragraph" w:customStyle="1" w:styleId="xl83">
    <w:name w:val="xl83"/>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14:ligatures w14:val="none"/>
    </w:rPr>
  </w:style>
  <w:style w:type="paragraph" w:customStyle="1" w:styleId="xl84">
    <w:name w:val="xl84"/>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14:ligatures w14:val="none"/>
    </w:rPr>
  </w:style>
  <w:style w:type="paragraph" w:customStyle="1" w:styleId="xl85">
    <w:name w:val="xl85"/>
    <w:basedOn w:val="Normal"/>
    <w:rsid w:val="00B531CF"/>
    <w:pPr>
      <w:pBdr>
        <w:top w:val="single" w:sz="12" w:space="0" w:color="auto"/>
        <w:left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86">
    <w:name w:val="xl86"/>
    <w:basedOn w:val="Normal"/>
    <w:rsid w:val="00B531CF"/>
    <w:pPr>
      <w:pBdr>
        <w:left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87">
    <w:name w:val="xl87"/>
    <w:basedOn w:val="Normal"/>
    <w:rsid w:val="00B531CF"/>
    <w:pPr>
      <w:pBdr>
        <w:left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88">
    <w:name w:val="xl88"/>
    <w:basedOn w:val="Normal"/>
    <w:rsid w:val="00B531CF"/>
    <w:pPr>
      <w:pBdr>
        <w:top w:val="single" w:sz="12" w:space="0" w:color="auto"/>
        <w:left w:val="single" w:sz="12" w:space="0" w:color="auto"/>
        <w:bottom w:val="single" w:sz="12" w:space="0" w:color="auto"/>
      </w:pBdr>
      <w:shd w:val="clear" w:color="000000" w:fill="B5E6A2"/>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89">
    <w:name w:val="xl89"/>
    <w:basedOn w:val="Normal"/>
    <w:rsid w:val="00B531CF"/>
    <w:pPr>
      <w:pBdr>
        <w:top w:val="single" w:sz="12" w:space="0" w:color="auto"/>
        <w:bottom w:val="single" w:sz="12" w:space="0" w:color="auto"/>
      </w:pBdr>
      <w:shd w:val="clear" w:color="000000" w:fill="B5E6A2"/>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90">
    <w:name w:val="xl90"/>
    <w:basedOn w:val="Normal"/>
    <w:rsid w:val="00B531CF"/>
    <w:pPr>
      <w:pBdr>
        <w:top w:val="single" w:sz="12" w:space="0" w:color="auto"/>
        <w:bottom w:val="single" w:sz="12" w:space="0" w:color="auto"/>
        <w:right w:val="single" w:sz="12" w:space="0" w:color="auto"/>
      </w:pBdr>
      <w:shd w:val="clear" w:color="000000" w:fill="B5E6A2"/>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91">
    <w:name w:val="xl91"/>
    <w:basedOn w:val="Normal"/>
    <w:rsid w:val="00B531CF"/>
    <w:pPr>
      <w:pBdr>
        <w:top w:val="single" w:sz="12" w:space="0" w:color="auto"/>
        <w:left w:val="single" w:sz="12" w:space="0" w:color="auto"/>
        <w:bottom w:val="single" w:sz="12" w:space="0" w:color="auto"/>
      </w:pBdr>
      <w:shd w:val="clear" w:color="000000" w:fill="B5E6A2"/>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92">
    <w:name w:val="xl92"/>
    <w:basedOn w:val="Normal"/>
    <w:rsid w:val="00B531CF"/>
    <w:pPr>
      <w:pBdr>
        <w:top w:val="single" w:sz="12" w:space="0" w:color="auto"/>
        <w:bottom w:val="single" w:sz="12" w:space="0" w:color="auto"/>
      </w:pBdr>
      <w:shd w:val="clear" w:color="000000" w:fill="B5E6A2"/>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93">
    <w:name w:val="xl93"/>
    <w:basedOn w:val="Normal"/>
    <w:rsid w:val="00B531CF"/>
    <w:pPr>
      <w:pBdr>
        <w:top w:val="single" w:sz="12" w:space="0" w:color="auto"/>
        <w:bottom w:val="single" w:sz="12" w:space="0" w:color="auto"/>
        <w:right w:val="single" w:sz="12" w:space="0" w:color="auto"/>
      </w:pBdr>
      <w:shd w:val="clear" w:color="000000" w:fill="B5E6A2"/>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94">
    <w:name w:val="xl94"/>
    <w:basedOn w:val="Normal"/>
    <w:rsid w:val="00B531CF"/>
    <w:pPr>
      <w:pBdr>
        <w:top w:val="single" w:sz="12" w:space="0" w:color="auto"/>
        <w:left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95">
    <w:name w:val="xl95"/>
    <w:basedOn w:val="Normal"/>
    <w:rsid w:val="00B531CF"/>
    <w:pPr>
      <w:pBdr>
        <w:left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96">
    <w:name w:val="xl96"/>
    <w:basedOn w:val="Normal"/>
    <w:rsid w:val="00B531CF"/>
    <w:pPr>
      <w:pBdr>
        <w:left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4"/>
      <w:szCs w:val="24"/>
      <w14:ligatures w14:val="none"/>
    </w:rPr>
  </w:style>
  <w:style w:type="paragraph" w:customStyle="1" w:styleId="xl97">
    <w:name w:val="xl97"/>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98">
    <w:name w:val="xl98"/>
    <w:basedOn w:val="Normal"/>
    <w:rsid w:val="00B531CF"/>
    <w:pPr>
      <w:pBdr>
        <w:top w:val="single" w:sz="12" w:space="0" w:color="auto"/>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99">
    <w:name w:val="xl99"/>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b/>
      <w:bCs/>
      <w:kern w:val="0"/>
      <w:sz w:val="28"/>
      <w:szCs w:val="28"/>
      <w14:ligatures w14:val="none"/>
    </w:rPr>
  </w:style>
  <w:style w:type="paragraph" w:customStyle="1" w:styleId="xl100">
    <w:name w:val="xl100"/>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8"/>
      <w:szCs w:val="28"/>
      <w14:ligatures w14:val="none"/>
    </w:rPr>
  </w:style>
  <w:style w:type="paragraph" w:customStyle="1" w:styleId="xl101">
    <w:name w:val="xl101"/>
    <w:basedOn w:val="Normal"/>
    <w:rsid w:val="00B531CF"/>
    <w:pPr>
      <w:pBdr>
        <w:top w:val="single" w:sz="12" w:space="0" w:color="auto"/>
        <w:left w:val="single" w:sz="12" w:space="0" w:color="auto"/>
        <w:bottom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8"/>
      <w:szCs w:val="28"/>
      <w14:ligatures w14:val="none"/>
    </w:rPr>
  </w:style>
  <w:style w:type="paragraph" w:customStyle="1" w:styleId="xl102">
    <w:name w:val="xl102"/>
    <w:basedOn w:val="Normal"/>
    <w:rsid w:val="00B531CF"/>
    <w:pPr>
      <w:pBdr>
        <w:top w:val="single" w:sz="12" w:space="0" w:color="auto"/>
        <w:bottom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8"/>
      <w:szCs w:val="28"/>
      <w14:ligatures w14:val="none"/>
    </w:rPr>
  </w:style>
  <w:style w:type="paragraph" w:customStyle="1" w:styleId="xl103">
    <w:name w:val="xl103"/>
    <w:basedOn w:val="Normal"/>
    <w:rsid w:val="00B531CF"/>
    <w:pPr>
      <w:pBdr>
        <w:top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8"/>
      <w:szCs w:val="28"/>
      <w14:ligatures w14:val="none"/>
    </w:rPr>
  </w:style>
  <w:style w:type="paragraph" w:customStyle="1" w:styleId="xl104">
    <w:name w:val="xl104"/>
    <w:basedOn w:val="Normal"/>
    <w:rsid w:val="00B531CF"/>
    <w:pPr>
      <w:pBdr>
        <w:top w:val="single" w:sz="12" w:space="0" w:color="auto"/>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105">
    <w:name w:val="xl105"/>
    <w:basedOn w:val="Normal"/>
    <w:rsid w:val="00B531CF"/>
    <w:pPr>
      <w:pBdr>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106">
    <w:name w:val="xl106"/>
    <w:basedOn w:val="Normal"/>
    <w:rsid w:val="00B531CF"/>
    <w:pPr>
      <w:pBdr>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107">
    <w:name w:val="xl107"/>
    <w:basedOn w:val="Normal"/>
    <w:rsid w:val="00B531CF"/>
    <w:pPr>
      <w:pBdr>
        <w:top w:val="single" w:sz="12" w:space="0" w:color="auto"/>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108">
    <w:name w:val="xl108"/>
    <w:basedOn w:val="Normal"/>
    <w:rsid w:val="00B531CF"/>
    <w:pPr>
      <w:pBdr>
        <w:top w:val="single" w:sz="12" w:space="0" w:color="auto"/>
        <w:left w:val="single" w:sz="12" w:space="0" w:color="auto"/>
        <w:bottom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8"/>
      <w:szCs w:val="28"/>
      <w14:ligatures w14:val="none"/>
    </w:rPr>
  </w:style>
  <w:style w:type="paragraph" w:customStyle="1" w:styleId="xl109">
    <w:name w:val="xl109"/>
    <w:basedOn w:val="Normal"/>
    <w:rsid w:val="00B531CF"/>
    <w:pPr>
      <w:pBdr>
        <w:top w:val="single" w:sz="12" w:space="0" w:color="auto"/>
        <w:bottom w:val="single" w:sz="12" w:space="0" w:color="auto"/>
        <w:right w:val="single" w:sz="12" w:space="0" w:color="auto"/>
      </w:pBdr>
      <w:spacing w:before="100" w:beforeAutospacing="1" w:after="100" w:afterAutospacing="1" w:line="240" w:lineRule="auto"/>
      <w:jc w:val="center"/>
      <w:textAlignment w:val="top"/>
    </w:pPr>
    <w:rPr>
      <w:rFonts w:ascii="Footlight MT Light" w:eastAsia="Times New Roman" w:hAnsi="Footlight MT Light" w:cs="Times New Roman"/>
      <w:kern w:val="0"/>
      <w:sz w:val="28"/>
      <w:szCs w:val="28"/>
      <w14:ligatures w14:val="none"/>
    </w:rPr>
  </w:style>
  <w:style w:type="paragraph" w:customStyle="1" w:styleId="xl110">
    <w:name w:val="xl110"/>
    <w:basedOn w:val="Normal"/>
    <w:rsid w:val="00B531CF"/>
    <w:pPr>
      <w:pBdr>
        <w:top w:val="single" w:sz="12" w:space="0" w:color="auto"/>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111">
    <w:name w:val="xl111"/>
    <w:basedOn w:val="Normal"/>
    <w:rsid w:val="00B531CF"/>
    <w:pPr>
      <w:pBdr>
        <w:left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112">
    <w:name w:val="xl112"/>
    <w:basedOn w:val="Normal"/>
    <w:rsid w:val="00B531CF"/>
    <w:pPr>
      <w:pBdr>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b/>
      <w:bCs/>
      <w:kern w:val="0"/>
      <w:sz w:val="24"/>
      <w:szCs w:val="24"/>
      <w14:ligatures w14:val="none"/>
    </w:rPr>
  </w:style>
  <w:style w:type="paragraph" w:customStyle="1" w:styleId="xl113">
    <w:name w:val="xl113"/>
    <w:basedOn w:val="Normal"/>
    <w:rsid w:val="00B531CF"/>
    <w:pP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114">
    <w:name w:val="xl114"/>
    <w:basedOn w:val="Normal"/>
    <w:rsid w:val="00B531CF"/>
    <w:pP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115">
    <w:name w:val="xl115"/>
    <w:basedOn w:val="Normal"/>
    <w:rsid w:val="00B531CF"/>
    <w:pP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116">
    <w:name w:val="xl116"/>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117">
    <w:name w:val="xl117"/>
    <w:basedOn w:val="Normal"/>
    <w:rsid w:val="00B531CF"/>
    <w:pPr>
      <w:spacing w:before="100" w:beforeAutospacing="1" w:after="100" w:afterAutospacing="1" w:line="240" w:lineRule="auto"/>
      <w:jc w:val="center"/>
    </w:pPr>
    <w:rPr>
      <w:rFonts w:ascii="Footlight MT Light" w:eastAsia="Times New Roman" w:hAnsi="Footlight MT Light" w:cs="Times New Roman"/>
      <w:color w:val="467886"/>
      <w:kern w:val="0"/>
      <w:sz w:val="24"/>
      <w:szCs w:val="24"/>
      <w:u w:val="single"/>
      <w14:ligatures w14:val="none"/>
    </w:rPr>
  </w:style>
  <w:style w:type="paragraph" w:customStyle="1" w:styleId="xl118">
    <w:name w:val="xl118"/>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119">
    <w:name w:val="xl119"/>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Footlight MT Light" w:eastAsia="Times New Roman" w:hAnsi="Footlight MT Light" w:cs="Times New Roman"/>
      <w:kern w:val="0"/>
      <w:sz w:val="24"/>
      <w:szCs w:val="24"/>
      <w14:ligatures w14:val="none"/>
    </w:rPr>
  </w:style>
  <w:style w:type="paragraph" w:customStyle="1" w:styleId="xl120">
    <w:name w:val="xl120"/>
    <w:basedOn w:val="Normal"/>
    <w:rsid w:val="00B531CF"/>
    <w:pPr>
      <w:spacing w:before="100" w:beforeAutospacing="1" w:after="100" w:afterAutospacing="1" w:line="240" w:lineRule="auto"/>
    </w:pPr>
    <w:rPr>
      <w:rFonts w:ascii="Footlight MT Light" w:eastAsia="Times New Roman" w:hAnsi="Footlight MT Light" w:cs="Times New Roman"/>
      <w:kern w:val="0"/>
      <w:sz w:val="24"/>
      <w:szCs w:val="24"/>
      <w:u w:val="single"/>
      <w14:ligatures w14:val="none"/>
    </w:rPr>
  </w:style>
  <w:style w:type="paragraph" w:customStyle="1" w:styleId="xl121">
    <w:name w:val="xl121"/>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14:ligatures w14:val="none"/>
    </w:rPr>
  </w:style>
  <w:style w:type="paragraph" w:customStyle="1" w:styleId="xl122">
    <w:name w:val="xl122"/>
    <w:basedOn w:val="Normal"/>
    <w:rsid w:val="00B531CF"/>
    <w:pPr>
      <w:spacing w:before="100" w:beforeAutospacing="1" w:after="100" w:afterAutospacing="1" w:line="240" w:lineRule="auto"/>
      <w:textAlignment w:val="center"/>
    </w:pPr>
    <w:rPr>
      <w:rFonts w:ascii="Footlight MT Light" w:eastAsia="Times New Roman" w:hAnsi="Footlight MT Light" w:cs="Times New Roman"/>
      <w:kern w:val="0"/>
      <w:sz w:val="24"/>
      <w:szCs w:val="24"/>
      <w:u w:val="single"/>
      <w14:ligatures w14:val="none"/>
    </w:rPr>
  </w:style>
  <w:style w:type="paragraph" w:customStyle="1" w:styleId="xl123">
    <w:name w:val="xl123"/>
    <w:basedOn w:val="Normal"/>
    <w:rsid w:val="00B531CF"/>
    <w:pPr>
      <w:spacing w:before="100" w:beforeAutospacing="1" w:after="100" w:afterAutospacing="1" w:line="240" w:lineRule="auto"/>
      <w:textAlignment w:val="center"/>
    </w:pPr>
    <w:rPr>
      <w:rFonts w:ascii="Footlight MT Light" w:eastAsia="Times New Roman" w:hAnsi="Footlight MT Light" w:cs="Times New Roman"/>
      <w:kern w:val="0"/>
      <w:sz w:val="24"/>
      <w:szCs w:val="24"/>
      <w:u w:val="single"/>
      <w14:ligatures w14:val="none"/>
    </w:rPr>
  </w:style>
  <w:style w:type="paragraph" w:customStyle="1" w:styleId="xl124">
    <w:name w:val="xl124"/>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u w:val="single"/>
      <w14:ligatures w14:val="none"/>
    </w:rPr>
  </w:style>
  <w:style w:type="paragraph" w:customStyle="1" w:styleId="xl125">
    <w:name w:val="xl125"/>
    <w:basedOn w:val="Normal"/>
    <w:rsid w:val="00B531CF"/>
    <w:pPr>
      <w:spacing w:before="100" w:beforeAutospacing="1" w:after="100" w:afterAutospacing="1" w:line="240" w:lineRule="auto"/>
      <w:textAlignment w:val="center"/>
    </w:pPr>
    <w:rPr>
      <w:rFonts w:ascii="Footlight MT Light" w:eastAsia="Times New Roman" w:hAnsi="Footlight MT Light" w:cs="Times New Roman"/>
      <w:kern w:val="0"/>
      <w:sz w:val="24"/>
      <w:szCs w:val="24"/>
      <w:u w:val="single"/>
      <w14:ligatures w14:val="none"/>
    </w:rPr>
  </w:style>
  <w:style w:type="paragraph" w:customStyle="1" w:styleId="xl126">
    <w:name w:val="xl126"/>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u w:val="single"/>
      <w14:ligatures w14:val="none"/>
    </w:rPr>
  </w:style>
  <w:style w:type="paragraph" w:customStyle="1" w:styleId="xl127">
    <w:name w:val="xl127"/>
    <w:basedOn w:val="Normal"/>
    <w:rsid w:val="00B531CF"/>
    <w:pP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u w:val="single"/>
      <w14:ligatures w14:val="none"/>
    </w:rPr>
  </w:style>
  <w:style w:type="paragraph" w:customStyle="1" w:styleId="xl128">
    <w:name w:val="xl128"/>
    <w:basedOn w:val="Normal"/>
    <w:rsid w:val="00B531CF"/>
    <w:pP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u w:val="single"/>
      <w14:ligatures w14:val="none"/>
    </w:rPr>
  </w:style>
  <w:style w:type="paragraph" w:customStyle="1" w:styleId="xl129">
    <w:name w:val="xl129"/>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u w:val="single"/>
      <w14:ligatures w14:val="none"/>
    </w:rPr>
  </w:style>
  <w:style w:type="paragraph" w:customStyle="1" w:styleId="xl130">
    <w:name w:val="xl130"/>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131">
    <w:name w:val="xl131"/>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14:ligatures w14:val="none"/>
    </w:rPr>
  </w:style>
  <w:style w:type="paragraph" w:customStyle="1" w:styleId="xl132">
    <w:name w:val="xl132"/>
    <w:basedOn w:val="Normal"/>
    <w:rsid w:val="00B531CF"/>
    <w:pP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u w:val="single"/>
      <w14:ligatures w14:val="none"/>
    </w:rPr>
  </w:style>
  <w:style w:type="paragraph" w:customStyle="1" w:styleId="xl133">
    <w:name w:val="xl133"/>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center"/>
    </w:pPr>
    <w:rPr>
      <w:rFonts w:ascii="Footlight MT Light" w:eastAsia="Times New Roman" w:hAnsi="Footlight MT Light" w:cs="Times New Roman"/>
      <w:kern w:val="0"/>
      <w:sz w:val="24"/>
      <w:szCs w:val="24"/>
      <w:u w:val="single"/>
      <w14:ligatures w14:val="none"/>
    </w:rPr>
  </w:style>
  <w:style w:type="paragraph" w:customStyle="1" w:styleId="xl134">
    <w:name w:val="xl134"/>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Footlight MT Light" w:eastAsia="Times New Roman" w:hAnsi="Footlight MT Light" w:cs="Times New Roman"/>
      <w:color w:val="467886"/>
      <w:kern w:val="0"/>
      <w:sz w:val="24"/>
      <w:szCs w:val="24"/>
      <w:u w:val="single"/>
      <w14:ligatures w14:val="none"/>
    </w:rPr>
  </w:style>
  <w:style w:type="paragraph" w:customStyle="1" w:styleId="xl135">
    <w:name w:val="xl135"/>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textAlignment w:val="top"/>
    </w:pPr>
    <w:rPr>
      <w:rFonts w:ascii="Footlight MT Light" w:eastAsia="Times New Roman" w:hAnsi="Footlight MT Light" w:cs="Times New Roman"/>
      <w:kern w:val="0"/>
      <w:sz w:val="24"/>
      <w:szCs w:val="24"/>
      <w14:ligatures w14:val="none"/>
    </w:rPr>
  </w:style>
  <w:style w:type="paragraph" w:customStyle="1" w:styleId="xl136">
    <w:name w:val="xl136"/>
    <w:basedOn w:val="Normal"/>
    <w:rsid w:val="00B531CF"/>
    <w:pP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137">
    <w:name w:val="xl137"/>
    <w:basedOn w:val="Normal"/>
    <w:rsid w:val="00B531CF"/>
    <w:pP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14:ligatures w14:val="none"/>
    </w:rPr>
  </w:style>
  <w:style w:type="paragraph" w:customStyle="1" w:styleId="xl138">
    <w:name w:val="xl138"/>
    <w:basedOn w:val="Normal"/>
    <w:rsid w:val="00B531CF"/>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Footlight MT Light" w:eastAsia="Times New Roman" w:hAnsi="Footlight MT Light" w:cs="Times New Roman"/>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59610">
      <w:bodyDiv w:val="1"/>
      <w:marLeft w:val="0"/>
      <w:marRight w:val="0"/>
      <w:marTop w:val="0"/>
      <w:marBottom w:val="0"/>
      <w:divBdr>
        <w:top w:val="none" w:sz="0" w:space="0" w:color="auto"/>
        <w:left w:val="none" w:sz="0" w:space="0" w:color="auto"/>
        <w:bottom w:val="none" w:sz="0" w:space="0" w:color="auto"/>
        <w:right w:val="none" w:sz="0" w:space="0" w:color="auto"/>
      </w:divBdr>
    </w:div>
    <w:div w:id="144056325">
      <w:bodyDiv w:val="1"/>
      <w:marLeft w:val="0"/>
      <w:marRight w:val="0"/>
      <w:marTop w:val="0"/>
      <w:marBottom w:val="0"/>
      <w:divBdr>
        <w:top w:val="none" w:sz="0" w:space="0" w:color="auto"/>
        <w:left w:val="none" w:sz="0" w:space="0" w:color="auto"/>
        <w:bottom w:val="none" w:sz="0" w:space="0" w:color="auto"/>
        <w:right w:val="none" w:sz="0" w:space="0" w:color="auto"/>
      </w:divBdr>
    </w:div>
    <w:div w:id="354501600">
      <w:bodyDiv w:val="1"/>
      <w:marLeft w:val="0"/>
      <w:marRight w:val="0"/>
      <w:marTop w:val="0"/>
      <w:marBottom w:val="0"/>
      <w:divBdr>
        <w:top w:val="none" w:sz="0" w:space="0" w:color="auto"/>
        <w:left w:val="none" w:sz="0" w:space="0" w:color="auto"/>
        <w:bottom w:val="none" w:sz="0" w:space="0" w:color="auto"/>
        <w:right w:val="none" w:sz="0" w:space="0" w:color="auto"/>
      </w:divBdr>
    </w:div>
    <w:div w:id="1008100321">
      <w:bodyDiv w:val="1"/>
      <w:marLeft w:val="0"/>
      <w:marRight w:val="0"/>
      <w:marTop w:val="0"/>
      <w:marBottom w:val="0"/>
      <w:divBdr>
        <w:top w:val="none" w:sz="0" w:space="0" w:color="auto"/>
        <w:left w:val="none" w:sz="0" w:space="0" w:color="auto"/>
        <w:bottom w:val="none" w:sz="0" w:space="0" w:color="auto"/>
        <w:right w:val="none" w:sz="0" w:space="0" w:color="auto"/>
      </w:divBdr>
    </w:div>
    <w:div w:id="1268267205">
      <w:bodyDiv w:val="1"/>
      <w:marLeft w:val="0"/>
      <w:marRight w:val="0"/>
      <w:marTop w:val="0"/>
      <w:marBottom w:val="0"/>
      <w:divBdr>
        <w:top w:val="none" w:sz="0" w:space="0" w:color="auto"/>
        <w:left w:val="none" w:sz="0" w:space="0" w:color="auto"/>
        <w:bottom w:val="none" w:sz="0" w:space="0" w:color="auto"/>
        <w:right w:val="none" w:sz="0" w:space="0" w:color="auto"/>
      </w:divBdr>
    </w:div>
    <w:div w:id="1321930910">
      <w:bodyDiv w:val="1"/>
      <w:marLeft w:val="0"/>
      <w:marRight w:val="0"/>
      <w:marTop w:val="0"/>
      <w:marBottom w:val="0"/>
      <w:divBdr>
        <w:top w:val="none" w:sz="0" w:space="0" w:color="auto"/>
        <w:left w:val="none" w:sz="0" w:space="0" w:color="auto"/>
        <w:bottom w:val="none" w:sz="0" w:space="0" w:color="auto"/>
        <w:right w:val="none" w:sz="0" w:space="0" w:color="auto"/>
      </w:divBdr>
    </w:div>
    <w:div w:id="1436094431">
      <w:bodyDiv w:val="1"/>
      <w:marLeft w:val="0"/>
      <w:marRight w:val="0"/>
      <w:marTop w:val="0"/>
      <w:marBottom w:val="0"/>
      <w:divBdr>
        <w:top w:val="none" w:sz="0" w:space="0" w:color="auto"/>
        <w:left w:val="none" w:sz="0" w:space="0" w:color="auto"/>
        <w:bottom w:val="none" w:sz="0" w:space="0" w:color="auto"/>
        <w:right w:val="none" w:sz="0" w:space="0" w:color="auto"/>
      </w:divBdr>
    </w:div>
    <w:div w:id="1604724966">
      <w:bodyDiv w:val="1"/>
      <w:marLeft w:val="0"/>
      <w:marRight w:val="0"/>
      <w:marTop w:val="0"/>
      <w:marBottom w:val="0"/>
      <w:divBdr>
        <w:top w:val="none" w:sz="0" w:space="0" w:color="auto"/>
        <w:left w:val="none" w:sz="0" w:space="0" w:color="auto"/>
        <w:bottom w:val="none" w:sz="0" w:space="0" w:color="auto"/>
        <w:right w:val="none" w:sz="0" w:space="0" w:color="auto"/>
      </w:divBdr>
    </w:div>
    <w:div w:id="1932005492">
      <w:bodyDiv w:val="1"/>
      <w:marLeft w:val="0"/>
      <w:marRight w:val="0"/>
      <w:marTop w:val="0"/>
      <w:marBottom w:val="0"/>
      <w:divBdr>
        <w:top w:val="none" w:sz="0" w:space="0" w:color="auto"/>
        <w:left w:val="none" w:sz="0" w:space="0" w:color="auto"/>
        <w:bottom w:val="none" w:sz="0" w:space="0" w:color="auto"/>
        <w:right w:val="none" w:sz="0" w:space="0" w:color="auto"/>
      </w:divBdr>
    </w:div>
    <w:div w:id="2039966247">
      <w:bodyDiv w:val="1"/>
      <w:marLeft w:val="0"/>
      <w:marRight w:val="0"/>
      <w:marTop w:val="0"/>
      <w:marBottom w:val="0"/>
      <w:divBdr>
        <w:top w:val="none" w:sz="0" w:space="0" w:color="auto"/>
        <w:left w:val="none" w:sz="0" w:space="0" w:color="auto"/>
        <w:bottom w:val="none" w:sz="0" w:space="0" w:color="auto"/>
        <w:right w:val="none" w:sz="0" w:space="0" w:color="auto"/>
      </w:divBdr>
    </w:div>
    <w:div w:id="212160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nesandsteel.gov.ng/" TargetMode="External"/><Relationship Id="rId18" Type="http://schemas.openxmlformats.org/officeDocument/2006/relationships/hyperlink" Target="https://www.cbn.gov.ng/" TargetMode="External"/><Relationship Id="rId26" Type="http://schemas.openxmlformats.org/officeDocument/2006/relationships/hyperlink" Target="https://www.nuprc.gov.ng/wp-content/uploads/2024/04/2024-FBED-Plan.pdf" TargetMode="External"/><Relationship Id="rId39" Type="http://schemas.openxmlformats.org/officeDocument/2006/relationships/hyperlink" Target="https://www.nuprc.gov.ng/beneficial-ownership/" TargetMode="External"/><Relationship Id="rId21" Type="http://schemas.openxmlformats.org/officeDocument/2006/relationships/hyperlink" Target="https://nosdra.gov.ng/" TargetMode="External"/><Relationship Id="rId34" Type="http://schemas.openxmlformats.org/officeDocument/2006/relationships/hyperlink" Target="https://www.transparency.org/en/countries/nigeria" TargetMode="External"/><Relationship Id="rId42" Type="http://schemas.openxmlformats.org/officeDocument/2006/relationships/hyperlink" Target="https://neiti.gov.ng/about/stakeholders" TargetMode="External"/><Relationship Id="rId47" Type="http://schemas.openxmlformats.org/officeDocument/2006/relationships/hyperlink" Target="https://eiti.org/countries/nigeria" TargetMode="External"/><Relationship Id="rId7" Type="http://schemas.openxmlformats.org/officeDocument/2006/relationships/hyperlink" Target="https://www.nmdpra.gov.ng/our-mandate/" TargetMode="External"/><Relationship Id="rId2" Type="http://schemas.openxmlformats.org/officeDocument/2006/relationships/numbering" Target="numbering.xml"/><Relationship Id="rId16" Type="http://schemas.openxmlformats.org/officeDocument/2006/relationships/hyperlink" Target="http://environment.gov.ng/" TargetMode="External"/><Relationship Id="rId29" Type="http://schemas.openxmlformats.org/officeDocument/2006/relationships/hyperlink" Target="https://nigeriarights.gov.ng/focus-areas/women-and-gender-matters.html" TargetMode="External"/><Relationship Id="rId11" Type="http://schemas.openxmlformats.org/officeDocument/2006/relationships/hyperlink" Target="https://ncdmb.gov.ng" TargetMode="External"/><Relationship Id="rId24" Type="http://schemas.openxmlformats.org/officeDocument/2006/relationships/hyperlink" Target="https://neiti.gov.ng/cms/wp-content/uploads/2023/01/Official-Gazette-of-the-Petroleum-Industry-Act-2021.pdf" TargetMode="External"/><Relationship Id="rId32" Type="http://schemas.openxmlformats.org/officeDocument/2006/relationships/hyperlink" Target="https://icpc.gov.ng/?doing_wp_cron=1715867202.8634500503540039062500" TargetMode="External"/><Relationship Id="rId37" Type="http://schemas.openxmlformats.org/officeDocument/2006/relationships/hyperlink" Target="https://justice.gov.ng/" TargetMode="External"/><Relationship Id="rId40" Type="http://schemas.openxmlformats.org/officeDocument/2006/relationships/hyperlink" Target="https://nnpcgroup.com/" TargetMode="External"/><Relationship Id="rId45" Type="http://schemas.openxmlformats.org/officeDocument/2006/relationships/hyperlink" Target="https://academic.oup.com/book/27405/chapter/197237687" TargetMode="External"/><Relationship Id="rId5" Type="http://schemas.openxmlformats.org/officeDocument/2006/relationships/webSettings" Target="webSettings.xml"/><Relationship Id="rId15" Type="http://schemas.openxmlformats.org/officeDocument/2006/relationships/hyperlink" Target="https://www.miningcadastre.gov.ng/" TargetMode="External"/><Relationship Id="rId23" Type="http://schemas.openxmlformats.org/officeDocument/2006/relationships/hyperlink" Target="https://www.cbn.gov.ng/Out/2021/CCD/BOFIA%202020.pdf" TargetMode="External"/><Relationship Id="rId28" Type="http://schemas.openxmlformats.org/officeDocument/2006/relationships/hyperlink" Target="https://www.nuprc.gov.ng/oil-production-status-report/" TargetMode="External"/><Relationship Id="rId36" Type="http://schemas.openxmlformats.org/officeDocument/2006/relationships/hyperlink" Target="https://natccc.gov.ng/" TargetMode="External"/><Relationship Id="rId49" Type="http://schemas.openxmlformats.org/officeDocument/2006/relationships/theme" Target="theme/theme1.xml"/><Relationship Id="rId10" Type="http://schemas.openxmlformats.org/officeDocument/2006/relationships/hyperlink" Target="https://www.nddc.gov.ng" TargetMode="External"/><Relationship Id="rId19" Type="http://schemas.openxmlformats.org/officeDocument/2006/relationships/hyperlink" Target="https://rmafc.gov.ng/" TargetMode="External"/><Relationship Id="rId31" Type="http://schemas.openxmlformats.org/officeDocument/2006/relationships/hyperlink" Target="https://nigeriarights.gov.ng/focus-areas/women-and-gender-matters.html" TargetMode="External"/><Relationship Id="rId44" Type="http://schemas.openxmlformats.org/officeDocument/2006/relationships/hyperlink" Target="https://ndi.org/sites/default/files/2191_extractive_080807.pdf" TargetMode="External"/><Relationship Id="rId4" Type="http://schemas.openxmlformats.org/officeDocument/2006/relationships/settings" Target="settings.xml"/><Relationship Id="rId9" Type="http://schemas.openxmlformats.org/officeDocument/2006/relationships/hyperlink" Target="https://www.firs.gov.ng" TargetMode="External"/><Relationship Id="rId14" Type="http://schemas.openxmlformats.org/officeDocument/2006/relationships/hyperlink" Target="https://ngsa.gov.ng/" TargetMode="External"/><Relationship Id="rId22" Type="http://schemas.openxmlformats.org/officeDocument/2006/relationships/hyperlink" Target="http://nesrea.gov.ng/" TargetMode="External"/><Relationship Id="rId27" Type="http://schemas.openxmlformats.org/officeDocument/2006/relationships/hyperlink" Target="https://nnpcgroup.com/documents/2022%20Documents/NNPC%20Limited%20Disclosures" TargetMode="External"/><Relationship Id="rId30" Type="http://schemas.openxmlformats.org/officeDocument/2006/relationships/hyperlink" Target="https://www.inecnigeria.org/wp-content/uploads/2022/10/INEC-GENDER-POLICY-2021-2025.pdf" TargetMode="External"/><Relationship Id="rId35" Type="http://schemas.openxmlformats.org/officeDocument/2006/relationships/hyperlink" Target="https://neiti.gov.ng/cms/wp-content/uploads/2022/12/Communique-from-National-Dialogue-on-Energy-Transition-1.pdf," TargetMode="External"/><Relationship Id="rId43" Type="http://schemas.openxmlformats.org/officeDocument/2006/relationships/hyperlink" Target="https://neiti.gov.ng/cms/wp-content/uploads/2024/04/2021-Simplified-OIL-GAS-REPORT.pdf" TargetMode="External"/><Relationship Id="rId48" Type="http://schemas.openxmlformats.org/officeDocument/2006/relationships/fontTable" Target="fontTable.xml"/><Relationship Id="rId8" Type="http://schemas.openxmlformats.org/officeDocument/2006/relationships/hyperlink" Target="https://www.nnpcgroup.com/who-we-are" TargetMode="External"/><Relationship Id="rId3" Type="http://schemas.openxmlformats.org/officeDocument/2006/relationships/styles" Target="styles.xml"/><Relationship Id="rId12" Type="http://schemas.openxmlformats.org/officeDocument/2006/relationships/hyperlink" Target="https://finance.gov.ng" TargetMode="External"/><Relationship Id="rId17" Type="http://schemas.openxmlformats.org/officeDocument/2006/relationships/hyperlink" Target="http://customs.gov.ng/" TargetMode="External"/><Relationship Id="rId25" Type="http://schemas.openxmlformats.org/officeDocument/2006/relationships/hyperlink" Target="https://www.nuprc.gov.ng/acreage-situation-reports/" TargetMode="External"/><Relationship Id="rId33" Type="http://schemas.openxmlformats.org/officeDocument/2006/relationships/hyperlink" Target="https://www.efcc.gov.ng/efcc/" TargetMode="External"/><Relationship Id="rId38" Type="http://schemas.openxmlformats.org/officeDocument/2006/relationships/hyperlink" Target="https://neiti.gov.ng/legal" TargetMode="External"/><Relationship Id="rId46" Type="http://schemas.openxmlformats.org/officeDocument/2006/relationships/hyperlink" Target="file:///C:\Users\aaabubakar\OneDrive%20-%20University%20of%20Dundee\Desktop\New%20Stuff\Scoping%202022-2023%20Docs\3" TargetMode="External"/><Relationship Id="rId20" Type="http://schemas.openxmlformats.org/officeDocument/2006/relationships/hyperlink" Target="https://oagf.gov.ng/" TargetMode="External"/><Relationship Id="rId41" Type="http://schemas.openxmlformats.org/officeDocument/2006/relationships/hyperlink" Target="https://neiti.gov.ng/about/annual-workplan" TargetMode="External"/><Relationship Id="rId1" Type="http://schemas.openxmlformats.org/officeDocument/2006/relationships/customXml" Target="../customXml/item1.xml"/><Relationship Id="rId6" Type="http://schemas.openxmlformats.org/officeDocument/2006/relationships/hyperlink" Target="https://www.nuprc.gov.ng/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07106-5EC0-4DEE-B95F-BFDBF336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8167</Words>
  <Characters>46555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Abdulmumin Abubakar</dc:creator>
  <cp:keywords/>
  <dc:description/>
  <cp:lastModifiedBy>Abdulmumin Abubakar</cp:lastModifiedBy>
  <cp:revision>3</cp:revision>
  <dcterms:created xsi:type="dcterms:W3CDTF">2024-12-13T09:39:00Z</dcterms:created>
  <dcterms:modified xsi:type="dcterms:W3CDTF">2024-12-13T09:56:00Z</dcterms:modified>
</cp:coreProperties>
</file>