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890" w:type="dxa"/>
        <w:tblInd w:w="-1035" w:type="dxa"/>
        <w:tblLayout w:type="fixed"/>
        <w:tblLook w:val="04A0" w:firstRow="1" w:lastRow="0" w:firstColumn="1" w:lastColumn="0" w:noHBand="0" w:noVBand="1"/>
      </w:tblPr>
      <w:tblGrid>
        <w:gridCol w:w="1030"/>
        <w:gridCol w:w="1566"/>
        <w:gridCol w:w="1997"/>
        <w:gridCol w:w="2588"/>
        <w:gridCol w:w="1518"/>
        <w:gridCol w:w="2772"/>
        <w:gridCol w:w="3419"/>
      </w:tblGrid>
      <w:tr w:rsidR="00B45106" w:rsidRPr="00E62EE8" w14:paraId="22577FBE" w14:textId="77777777" w:rsidTr="00420A22">
        <w:tc>
          <w:tcPr>
            <w:tcW w:w="1030" w:type="dxa"/>
          </w:tcPr>
          <w:p w14:paraId="3359FB90" w14:textId="77777777" w:rsidR="00B45106" w:rsidRPr="00E62EE8" w:rsidRDefault="00B45106" w:rsidP="00420A22">
            <w:pPr>
              <w:rPr>
                <w:rFonts w:ascii="Footlight MT Light" w:hAnsi="Footlight MT Light" w:cstheme="minorHAnsi"/>
                <w:sz w:val="24"/>
                <w:szCs w:val="24"/>
              </w:rPr>
            </w:pPr>
          </w:p>
          <w:p w14:paraId="1E1486FA" w14:textId="77777777" w:rsidR="00B45106" w:rsidRPr="00E62EE8" w:rsidRDefault="00B45106" w:rsidP="00420A22">
            <w:pPr>
              <w:rPr>
                <w:rFonts w:ascii="Footlight MT Light" w:hAnsi="Footlight MT Light" w:cstheme="minorHAnsi"/>
                <w:sz w:val="24"/>
                <w:szCs w:val="24"/>
              </w:rPr>
            </w:pPr>
          </w:p>
        </w:tc>
        <w:tc>
          <w:tcPr>
            <w:tcW w:w="1566" w:type="dxa"/>
          </w:tcPr>
          <w:p w14:paraId="148AD920"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2DB84BDC"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 xml:space="preserve">2.2 </w:t>
            </w:r>
          </w:p>
          <w:p w14:paraId="12430959"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Contract and License Allocation</w:t>
            </w:r>
          </w:p>
        </w:tc>
        <w:tc>
          <w:tcPr>
            <w:tcW w:w="2588" w:type="dxa"/>
          </w:tcPr>
          <w:p w14:paraId="30CA475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-Inadequate public access to statutory licensing procedures particularly those related to the transfer of participating interest in oil and gas blocks.</w:t>
            </w:r>
          </w:p>
          <w:p w14:paraId="5B1EB9CD" w14:textId="77777777" w:rsidR="00B45106" w:rsidRPr="00E62EE8" w:rsidRDefault="00B45106" w:rsidP="00420A22">
            <w:pPr>
              <w:jc w:val="both"/>
              <w:rPr>
                <w:rFonts w:ascii="Footlight MT Light" w:hAnsi="Footlight MT Light" w:cstheme="minorHAnsi"/>
                <w:sz w:val="24"/>
                <w:szCs w:val="24"/>
              </w:rPr>
            </w:pPr>
          </w:p>
          <w:p w14:paraId="44CAE356"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-The absence of a diagnostic action report on actual licensing practice by NEITI NSWG as an essential part of the EITI reporting package.</w:t>
            </w:r>
          </w:p>
          <w:p w14:paraId="3680295E" w14:textId="77777777" w:rsidR="00B45106" w:rsidRPr="00E62EE8" w:rsidRDefault="00B45106" w:rsidP="00420A22">
            <w:pPr>
              <w:jc w:val="both"/>
              <w:rPr>
                <w:rFonts w:ascii="Footlight MT Light" w:hAnsi="Footlight MT Light" w:cstheme="minorHAnsi"/>
                <w:sz w:val="24"/>
                <w:szCs w:val="24"/>
              </w:rPr>
            </w:pPr>
          </w:p>
          <w:p w14:paraId="6DBFCDCB"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-The public lacks access to the financial and technical criteria as well as the associated weightings, governing the award and transfer of oil and gas rights, particularly for asset transfers within the Joint Development Agreement (JDA)</w:t>
            </w:r>
          </w:p>
        </w:tc>
        <w:tc>
          <w:tcPr>
            <w:tcW w:w="1518" w:type="dxa"/>
          </w:tcPr>
          <w:p w14:paraId="7246CBFF"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NUPRC</w:t>
            </w:r>
          </w:p>
          <w:p w14:paraId="210CDB2B"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MMSD(MCO)</w:t>
            </w:r>
          </w:p>
          <w:p w14:paraId="0540B8E5" w14:textId="77777777" w:rsidR="00B45106" w:rsidRPr="00E62EE8" w:rsidRDefault="00B45106" w:rsidP="00420A22">
            <w:pPr>
              <w:jc w:val="both"/>
              <w:rPr>
                <w:rFonts w:ascii="Footlight MT Light" w:hAnsi="Footlight MT Light" w:cstheme="minorHAnsi"/>
                <w:sz w:val="24"/>
                <w:szCs w:val="24"/>
              </w:rPr>
            </w:pPr>
          </w:p>
          <w:p w14:paraId="1F01EC7B" w14:textId="77777777" w:rsidR="00B45106" w:rsidRPr="00E62EE8" w:rsidRDefault="00B45106" w:rsidP="00420A22">
            <w:pPr>
              <w:jc w:val="both"/>
              <w:rPr>
                <w:rFonts w:ascii="Footlight MT Light" w:hAnsi="Footlight MT Light" w:cstheme="minorHAnsi"/>
                <w:sz w:val="24"/>
                <w:szCs w:val="24"/>
              </w:rPr>
            </w:pPr>
          </w:p>
          <w:p w14:paraId="27D9E282" w14:textId="77777777" w:rsidR="00B45106" w:rsidRPr="00E62EE8" w:rsidRDefault="00B45106" w:rsidP="00420A22">
            <w:pPr>
              <w:jc w:val="both"/>
              <w:rPr>
                <w:rFonts w:ascii="Footlight MT Light" w:hAnsi="Footlight MT Light" w:cstheme="minorHAnsi"/>
                <w:sz w:val="24"/>
                <w:szCs w:val="24"/>
              </w:rPr>
            </w:pPr>
          </w:p>
          <w:p w14:paraId="6CD35510" w14:textId="77777777" w:rsidR="00B45106" w:rsidRPr="00E62EE8" w:rsidRDefault="00B45106" w:rsidP="00420A22">
            <w:pPr>
              <w:jc w:val="both"/>
              <w:rPr>
                <w:rFonts w:ascii="Footlight MT Light" w:hAnsi="Footlight MT Light" w:cstheme="minorHAnsi"/>
                <w:sz w:val="24"/>
                <w:szCs w:val="24"/>
              </w:rPr>
            </w:pPr>
          </w:p>
          <w:p w14:paraId="02733DBA" w14:textId="77777777" w:rsidR="00B45106" w:rsidRPr="00E62EE8" w:rsidRDefault="00B45106" w:rsidP="00420A22">
            <w:pPr>
              <w:jc w:val="both"/>
              <w:rPr>
                <w:rFonts w:ascii="Footlight MT Light" w:hAnsi="Footlight MT Light" w:cstheme="minorHAnsi"/>
                <w:sz w:val="24"/>
                <w:szCs w:val="24"/>
              </w:rPr>
            </w:pPr>
          </w:p>
          <w:p w14:paraId="1A13C63D" w14:textId="77777777" w:rsidR="00B45106" w:rsidRPr="00E62EE8" w:rsidRDefault="00B45106" w:rsidP="00420A22">
            <w:pPr>
              <w:jc w:val="both"/>
              <w:rPr>
                <w:rFonts w:ascii="Footlight MT Light" w:hAnsi="Footlight MT Light" w:cstheme="minorHAnsi"/>
                <w:sz w:val="24"/>
                <w:szCs w:val="24"/>
              </w:rPr>
            </w:pPr>
          </w:p>
          <w:p w14:paraId="03A8D87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w:t>
            </w:r>
          </w:p>
          <w:p w14:paraId="7F84666D" w14:textId="77777777" w:rsidR="00B45106" w:rsidRPr="00E62EE8" w:rsidRDefault="00B45106" w:rsidP="00420A22">
            <w:pPr>
              <w:jc w:val="both"/>
              <w:rPr>
                <w:rFonts w:ascii="Footlight MT Light" w:hAnsi="Footlight MT Light" w:cstheme="minorHAnsi"/>
                <w:sz w:val="24"/>
                <w:szCs w:val="24"/>
              </w:rPr>
            </w:pPr>
          </w:p>
          <w:p w14:paraId="155A5BB6" w14:textId="77777777" w:rsidR="00B45106" w:rsidRPr="00E62EE8" w:rsidRDefault="00B45106" w:rsidP="00420A22">
            <w:pPr>
              <w:jc w:val="both"/>
              <w:rPr>
                <w:rFonts w:ascii="Footlight MT Light" w:hAnsi="Footlight MT Light" w:cstheme="minorHAnsi"/>
                <w:sz w:val="24"/>
                <w:szCs w:val="24"/>
              </w:rPr>
            </w:pPr>
          </w:p>
          <w:p w14:paraId="467D0F30" w14:textId="77777777" w:rsidR="00B45106" w:rsidRPr="00E62EE8" w:rsidRDefault="00B45106" w:rsidP="00420A22">
            <w:pPr>
              <w:jc w:val="both"/>
              <w:rPr>
                <w:rFonts w:ascii="Footlight MT Light" w:hAnsi="Footlight MT Light" w:cstheme="minorHAnsi"/>
                <w:sz w:val="24"/>
                <w:szCs w:val="24"/>
              </w:rPr>
            </w:pPr>
          </w:p>
          <w:p w14:paraId="46BC7583" w14:textId="77777777" w:rsidR="00B45106" w:rsidRPr="00E62EE8" w:rsidRDefault="00B45106" w:rsidP="00420A22">
            <w:pPr>
              <w:jc w:val="both"/>
              <w:rPr>
                <w:rFonts w:ascii="Footlight MT Light" w:hAnsi="Footlight MT Light" w:cstheme="minorHAnsi"/>
                <w:sz w:val="24"/>
                <w:szCs w:val="24"/>
              </w:rPr>
            </w:pPr>
          </w:p>
          <w:p w14:paraId="46F4EA99" w14:textId="77777777" w:rsidR="00B45106" w:rsidRPr="00E62EE8" w:rsidRDefault="00B45106" w:rsidP="00420A22">
            <w:pPr>
              <w:jc w:val="both"/>
              <w:rPr>
                <w:rFonts w:ascii="Footlight MT Light" w:hAnsi="Footlight MT Light" w:cstheme="minorHAnsi"/>
                <w:sz w:val="24"/>
                <w:szCs w:val="24"/>
              </w:rPr>
            </w:pPr>
          </w:p>
          <w:p w14:paraId="3CD8B86A" w14:textId="77777777" w:rsidR="00B45106" w:rsidRPr="00E62EE8" w:rsidRDefault="00B45106" w:rsidP="00420A22">
            <w:pPr>
              <w:jc w:val="both"/>
              <w:rPr>
                <w:rFonts w:ascii="Footlight MT Light" w:hAnsi="Footlight MT Light" w:cstheme="minorHAnsi"/>
                <w:sz w:val="24"/>
                <w:szCs w:val="24"/>
              </w:rPr>
            </w:pPr>
          </w:p>
          <w:p w14:paraId="6127834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NSTPJDA</w:t>
            </w:r>
          </w:p>
        </w:tc>
        <w:tc>
          <w:tcPr>
            <w:tcW w:w="2772" w:type="dxa"/>
          </w:tcPr>
          <w:p w14:paraId="43E3897E"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Nigeria should ensure that information on mining, oil and gas license transfers is publicly disclosed, including the identity of licenses transferred and the process for transferring licenses, and the technical and financial criteria assessed. </w:t>
            </w:r>
          </w:p>
          <w:p w14:paraId="0B1E6CAF"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In accordance with Requirement 2.2.a.iv, Nigeria is required to ensure public disclosure of its assessment of any material deviations from the applicable legal and regulatory framework governing license transfers and awards in license awards and transfers in the period under review by EITI reporting. </w:t>
            </w:r>
          </w:p>
          <w:p w14:paraId="293C3B1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To strengthen implementation, Nigeria could use the EITI to strengthen NUPRC’s systematic disclosures of licensing information, including retention of historical data.</w:t>
            </w:r>
          </w:p>
        </w:tc>
        <w:tc>
          <w:tcPr>
            <w:tcW w:w="3419" w:type="dxa"/>
          </w:tcPr>
          <w:p w14:paraId="06B46A3B"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 Secretariat to engage NUPRC for ongoing disclosure of licensing procedures, including but not limited to the process for transferring participating interest in all oil and gas assets on NUPRC website.</w:t>
            </w:r>
          </w:p>
          <w:p w14:paraId="525C10BB" w14:textId="77777777" w:rsidR="00B45106" w:rsidRPr="00E62EE8" w:rsidRDefault="00B45106" w:rsidP="00420A22">
            <w:pPr>
              <w:jc w:val="both"/>
              <w:rPr>
                <w:rFonts w:ascii="Footlight MT Light" w:hAnsi="Footlight MT Light" w:cstheme="minorHAnsi"/>
                <w:sz w:val="24"/>
                <w:szCs w:val="24"/>
              </w:rPr>
            </w:pPr>
          </w:p>
          <w:p w14:paraId="30FAB1B9"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NSWG to commission a study that compares statutory/regulatory provisions for licensing and transfers of interest versus actual licensing and transfer practice in the extractive sector.</w:t>
            </w:r>
          </w:p>
          <w:p w14:paraId="1C80CD3E" w14:textId="77777777" w:rsidR="00B45106" w:rsidRPr="00E62EE8" w:rsidRDefault="00B45106" w:rsidP="00420A22">
            <w:pPr>
              <w:jc w:val="both"/>
              <w:rPr>
                <w:rFonts w:ascii="Footlight MT Light" w:hAnsi="Footlight MT Light" w:cstheme="minorHAnsi"/>
                <w:sz w:val="24"/>
                <w:szCs w:val="24"/>
              </w:rPr>
            </w:pPr>
          </w:p>
          <w:p w14:paraId="144E7E7F"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  The NEITI NSWG will undertake the development of a robust framework/methodology. This methodology will enable the detection of significant(non-trivial) deviations between legal/regulatory requirements and their implementation in the award, transfer, revocation, and relinquishment of rights and interests within the extractive sector.</w:t>
            </w:r>
          </w:p>
        </w:tc>
      </w:tr>
      <w:tr w:rsidR="00B45106" w:rsidRPr="00E62EE8" w14:paraId="437D7196" w14:textId="77777777" w:rsidTr="00420A22">
        <w:tc>
          <w:tcPr>
            <w:tcW w:w="1030" w:type="dxa"/>
          </w:tcPr>
          <w:p w14:paraId="11CC58F1" w14:textId="77777777" w:rsidR="00B45106" w:rsidRPr="00E62EE8" w:rsidRDefault="00B45106" w:rsidP="00420A22">
            <w:pPr>
              <w:rPr>
                <w:rFonts w:ascii="Footlight MT Light" w:hAnsi="Footlight MT Light" w:cstheme="minorHAnsi"/>
                <w:sz w:val="24"/>
                <w:szCs w:val="24"/>
              </w:rPr>
            </w:pPr>
          </w:p>
        </w:tc>
        <w:tc>
          <w:tcPr>
            <w:tcW w:w="1566" w:type="dxa"/>
          </w:tcPr>
          <w:p w14:paraId="677CE2E0"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3D189699"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Requirement 2.3</w:t>
            </w:r>
          </w:p>
          <w:p w14:paraId="735642A5"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lastRenderedPageBreak/>
              <w:t>Register of License</w:t>
            </w:r>
          </w:p>
        </w:tc>
        <w:tc>
          <w:tcPr>
            <w:tcW w:w="2588" w:type="dxa"/>
          </w:tcPr>
          <w:p w14:paraId="4F47B6B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Poor transparency in property rights in the oil </w:t>
            </w:r>
            <w:r w:rsidRPr="00E62EE8">
              <w:rPr>
                <w:rFonts w:ascii="Footlight MT Light" w:hAnsi="Footlight MT Light" w:cstheme="minorHAnsi"/>
                <w:sz w:val="24"/>
                <w:szCs w:val="24"/>
              </w:rPr>
              <w:lastRenderedPageBreak/>
              <w:t>and gas sector due to the absence of a publicly accessible oil and gas license register or cadastral management system containing detailed licensing information.</w:t>
            </w:r>
          </w:p>
        </w:tc>
        <w:tc>
          <w:tcPr>
            <w:tcW w:w="1518" w:type="dxa"/>
          </w:tcPr>
          <w:p w14:paraId="0D387CCB"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NUPRC</w:t>
            </w:r>
          </w:p>
          <w:p w14:paraId="4B183F14"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MMSD(MCO)</w:t>
            </w:r>
          </w:p>
        </w:tc>
        <w:tc>
          <w:tcPr>
            <w:tcW w:w="2772" w:type="dxa"/>
          </w:tcPr>
          <w:p w14:paraId="7C38B91B"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Nigeria is required to ensure that dates of</w:t>
            </w:r>
          </w:p>
          <w:p w14:paraId="27222EA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application and license coordinates of each extractive license and contract are publicly</w:t>
            </w:r>
          </w:p>
          <w:p w14:paraId="6564A19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accessible for each active license and contract in the mining, oil and gas sector. </w:t>
            </w:r>
          </w:p>
          <w:p w14:paraId="609837C2"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To strengthen implementation, Nigeria is encouraged to pursue its efforts to establish a modern cadastral management system for its oil and gas sector.</w:t>
            </w:r>
          </w:p>
        </w:tc>
        <w:tc>
          <w:tcPr>
            <w:tcW w:w="3419" w:type="dxa"/>
          </w:tcPr>
          <w:p w14:paraId="4A9FEAC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-NEITI Secretariat to engage NUPRC to deploy the web </w:t>
            </w:r>
            <w:r w:rsidRPr="00E62EE8">
              <w:rPr>
                <w:rFonts w:ascii="Footlight MT Light" w:hAnsi="Footlight MT Light" w:cstheme="minorHAnsi"/>
                <w:sz w:val="24"/>
                <w:szCs w:val="24"/>
              </w:rPr>
              <w:lastRenderedPageBreak/>
              <w:t>enabled oil and gas license register as agreed in last quarter of 2023. The register should in addition to all relevant information contain date of application for all licenses, complete coordinates for all licenses, precise date of expiry and precise date of award of OPLS.</w:t>
            </w:r>
          </w:p>
          <w:p w14:paraId="73FE1A25" w14:textId="77777777" w:rsidR="00B45106" w:rsidRPr="00E62EE8" w:rsidRDefault="00B45106" w:rsidP="00420A22">
            <w:pPr>
              <w:jc w:val="both"/>
              <w:rPr>
                <w:rFonts w:ascii="Footlight MT Light" w:hAnsi="Footlight MT Light" w:cstheme="minorHAnsi"/>
                <w:sz w:val="24"/>
                <w:szCs w:val="24"/>
              </w:rPr>
            </w:pPr>
          </w:p>
          <w:p w14:paraId="763DFF70"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 For MMSD, the existing Cadaster Management systems should be updated with date of application and date of expiry of all licenses.</w:t>
            </w:r>
          </w:p>
        </w:tc>
      </w:tr>
      <w:tr w:rsidR="00B45106" w:rsidRPr="00E62EE8" w14:paraId="7931169C" w14:textId="77777777" w:rsidTr="00420A22">
        <w:tc>
          <w:tcPr>
            <w:tcW w:w="1030" w:type="dxa"/>
          </w:tcPr>
          <w:p w14:paraId="3E7B51BF" w14:textId="77777777" w:rsidR="00B45106" w:rsidRPr="00E62EE8" w:rsidRDefault="00B45106" w:rsidP="00420A22">
            <w:pPr>
              <w:rPr>
                <w:rFonts w:ascii="Footlight MT Light" w:hAnsi="Footlight MT Light" w:cstheme="minorHAnsi"/>
                <w:sz w:val="24"/>
                <w:szCs w:val="24"/>
              </w:rPr>
            </w:pPr>
          </w:p>
        </w:tc>
        <w:tc>
          <w:tcPr>
            <w:tcW w:w="1566" w:type="dxa"/>
          </w:tcPr>
          <w:p w14:paraId="1BFBE674"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29C4B05B"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Requirement 2.4</w:t>
            </w:r>
          </w:p>
          <w:p w14:paraId="79AE6015"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Contract &amp; license disclosure</w:t>
            </w:r>
          </w:p>
        </w:tc>
        <w:tc>
          <w:tcPr>
            <w:tcW w:w="2588" w:type="dxa"/>
          </w:tcPr>
          <w:p w14:paraId="31A8FB5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Full contract disclosure is poor coupled with zero public review of publicly available contracts including contracts predating 2021.</w:t>
            </w:r>
          </w:p>
          <w:p w14:paraId="3ABF203B" w14:textId="77777777" w:rsidR="00B45106" w:rsidRPr="00E62EE8" w:rsidRDefault="00B45106" w:rsidP="00420A22">
            <w:pPr>
              <w:jc w:val="both"/>
              <w:rPr>
                <w:rFonts w:ascii="Footlight MT Light" w:hAnsi="Footlight MT Light" w:cstheme="minorHAnsi"/>
                <w:sz w:val="24"/>
                <w:szCs w:val="24"/>
              </w:rPr>
            </w:pPr>
          </w:p>
          <w:p w14:paraId="5144594A"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-No disclosure of licenses signed post passage of the PIA.</w:t>
            </w:r>
          </w:p>
          <w:p w14:paraId="46224E43" w14:textId="77777777" w:rsidR="00B45106" w:rsidRPr="00E62EE8" w:rsidRDefault="00B45106" w:rsidP="00420A22">
            <w:pPr>
              <w:jc w:val="both"/>
              <w:rPr>
                <w:rFonts w:ascii="Footlight MT Light" w:hAnsi="Footlight MT Light" w:cstheme="minorHAnsi"/>
                <w:sz w:val="24"/>
                <w:szCs w:val="24"/>
              </w:rPr>
            </w:pPr>
          </w:p>
          <w:p w14:paraId="2D214D2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No comprehensive listing of specific annexes, amendments, and riders to active contracts.</w:t>
            </w:r>
          </w:p>
        </w:tc>
        <w:tc>
          <w:tcPr>
            <w:tcW w:w="1518" w:type="dxa"/>
          </w:tcPr>
          <w:p w14:paraId="719907A9"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NUPRC</w:t>
            </w:r>
          </w:p>
          <w:p w14:paraId="16C7D75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MMSD(MCO)</w:t>
            </w:r>
          </w:p>
          <w:p w14:paraId="0B9C91F4"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w:t>
            </w:r>
          </w:p>
        </w:tc>
        <w:tc>
          <w:tcPr>
            <w:tcW w:w="2772" w:type="dxa"/>
          </w:tcPr>
          <w:p w14:paraId="1097E85A"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Nigeria is required to disclose any contracts and</w:t>
            </w:r>
          </w:p>
          <w:p w14:paraId="2EB98CB4"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licenses that are granted, entered into or amended from 1 January 2021. Nigeria is</w:t>
            </w:r>
          </w:p>
          <w:p w14:paraId="1F579E39"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encouraged to publicly disclose any contracts and licenses that provide the terms</w:t>
            </w:r>
          </w:p>
          <w:p w14:paraId="7F5DB97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attached to the exploitation of oil, gas and minerals. The multi-stakeholder group is</w:t>
            </w:r>
          </w:p>
          <w:p w14:paraId="49A0CC04"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expected to agree and publish a plan for disclosing contracts with a clear time frame for</w:t>
            </w:r>
          </w:p>
          <w:p w14:paraId="38BFA1E0"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implementation addressing any barriers to comprehensive disclosure. Nigeria should</w:t>
            </w:r>
          </w:p>
          <w:p w14:paraId="2AB1E1D9"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provide a list of all active contracts and licenses (including annexes, amendments and</w:t>
            </w:r>
          </w:p>
          <w:p w14:paraId="053202A6"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riders), indicating which are publicly available and which are not. For all published</w:t>
            </w:r>
          </w:p>
          <w:p w14:paraId="6A9C5259"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contracts and licenses, it should Ide a reference or link to the location where the contract or license is published. If a contract or license is not published, the legal or</w:t>
            </w:r>
          </w:p>
          <w:p w14:paraId="0A101B7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practical barriers should be documented and explained. Where disclosure practice</w:t>
            </w:r>
          </w:p>
          <w:p w14:paraId="26F9823D"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deviates from legislative or government policy requirements concerning the disclosure</w:t>
            </w:r>
          </w:p>
          <w:p w14:paraId="4D061CE0"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of contracts and licenses, an explanation for the deviation should be provided.</w:t>
            </w:r>
          </w:p>
        </w:tc>
        <w:tc>
          <w:tcPr>
            <w:tcW w:w="3419" w:type="dxa"/>
          </w:tcPr>
          <w:p w14:paraId="7E8E987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NEITI to prompt NUPRC and MMSD (bitumen licenses issued) to disclose all contract &amp; license details, including amendments, addendums, and riders, on public platforms (websites) for improved transparency.</w:t>
            </w:r>
          </w:p>
          <w:p w14:paraId="3F7CC874" w14:textId="77777777" w:rsidR="00B45106" w:rsidRPr="00E62EE8" w:rsidRDefault="00B45106" w:rsidP="00420A22">
            <w:pPr>
              <w:jc w:val="both"/>
              <w:rPr>
                <w:rFonts w:ascii="Footlight MT Light" w:hAnsi="Footlight MT Light" w:cstheme="minorHAnsi"/>
                <w:sz w:val="24"/>
                <w:szCs w:val="24"/>
              </w:rPr>
            </w:pPr>
          </w:p>
          <w:p w14:paraId="3122EA46"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NSWG to commission a diagnostic study reviewing disclosed contracts and licenses by NUPRC, MMSD, NNPC, and present the findings of the report in a roundtable discussion with relevant stakeholders.</w:t>
            </w:r>
          </w:p>
          <w:p w14:paraId="23825AFE" w14:textId="77777777" w:rsidR="00B45106" w:rsidRPr="00E62EE8" w:rsidRDefault="00B45106" w:rsidP="00420A22">
            <w:pPr>
              <w:jc w:val="both"/>
              <w:rPr>
                <w:rFonts w:ascii="Footlight MT Light" w:hAnsi="Footlight MT Light" w:cstheme="minorHAnsi"/>
                <w:sz w:val="24"/>
                <w:szCs w:val="24"/>
              </w:rPr>
            </w:pPr>
          </w:p>
          <w:p w14:paraId="5AE99AC3" w14:textId="77777777" w:rsidR="00B45106" w:rsidRPr="00E62EE8" w:rsidRDefault="00B45106" w:rsidP="00420A22">
            <w:pPr>
              <w:rPr>
                <w:rFonts w:ascii="Footlight MT Light" w:hAnsi="Footlight MT Light" w:cstheme="minorHAnsi"/>
                <w:sz w:val="24"/>
                <w:szCs w:val="24"/>
              </w:rPr>
            </w:pPr>
          </w:p>
          <w:p w14:paraId="4EE31889" w14:textId="77777777" w:rsidR="00B45106" w:rsidRPr="00E62EE8" w:rsidRDefault="00B45106" w:rsidP="00420A22">
            <w:pPr>
              <w:rPr>
                <w:rFonts w:ascii="Footlight MT Light" w:hAnsi="Footlight MT Light" w:cstheme="minorHAnsi"/>
                <w:sz w:val="24"/>
                <w:szCs w:val="24"/>
              </w:rPr>
            </w:pPr>
          </w:p>
        </w:tc>
      </w:tr>
      <w:tr w:rsidR="00B45106" w:rsidRPr="00E62EE8" w14:paraId="31A03E69" w14:textId="77777777" w:rsidTr="00420A22">
        <w:tc>
          <w:tcPr>
            <w:tcW w:w="1030" w:type="dxa"/>
          </w:tcPr>
          <w:p w14:paraId="6B3D4C84" w14:textId="77777777" w:rsidR="00B45106" w:rsidRPr="00E62EE8" w:rsidRDefault="00B45106" w:rsidP="00420A22">
            <w:pPr>
              <w:rPr>
                <w:rFonts w:ascii="Footlight MT Light" w:hAnsi="Footlight MT Light" w:cstheme="minorHAnsi"/>
                <w:sz w:val="24"/>
                <w:szCs w:val="24"/>
              </w:rPr>
            </w:pPr>
          </w:p>
        </w:tc>
        <w:tc>
          <w:tcPr>
            <w:tcW w:w="1566" w:type="dxa"/>
          </w:tcPr>
          <w:p w14:paraId="29AD48E2"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77D1D359"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Requirement 2.5 Beneficial Ownership</w:t>
            </w:r>
          </w:p>
        </w:tc>
        <w:tc>
          <w:tcPr>
            <w:tcW w:w="2588" w:type="dxa"/>
          </w:tcPr>
          <w:p w14:paraId="47A607F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-Public disclosure of BO data for all companies holding or applying for extractive rights is poor.</w:t>
            </w:r>
          </w:p>
          <w:p w14:paraId="478BD09D" w14:textId="77777777" w:rsidR="00B45106" w:rsidRPr="00E62EE8" w:rsidRDefault="00B45106" w:rsidP="00420A22">
            <w:pPr>
              <w:jc w:val="both"/>
              <w:rPr>
                <w:rFonts w:ascii="Footlight MT Light" w:hAnsi="Footlight MT Light" w:cstheme="minorHAnsi"/>
                <w:sz w:val="24"/>
                <w:szCs w:val="24"/>
              </w:rPr>
            </w:pPr>
          </w:p>
          <w:p w14:paraId="59CF00F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The names of stock exchanges and URL links to where publicly listed extractive company BO data is accessible are not available for the solid mineral sector and limited for the oil and gas sector. This information is more required especially for the SOE and subsidiaries of publicly listed companies.</w:t>
            </w:r>
          </w:p>
          <w:p w14:paraId="7565973D" w14:textId="77777777" w:rsidR="00B45106" w:rsidRPr="00E62EE8" w:rsidRDefault="00B45106" w:rsidP="00420A22">
            <w:pPr>
              <w:jc w:val="both"/>
              <w:rPr>
                <w:rFonts w:ascii="Footlight MT Light" w:hAnsi="Footlight MT Light" w:cstheme="minorHAnsi"/>
                <w:sz w:val="24"/>
                <w:szCs w:val="24"/>
              </w:rPr>
            </w:pPr>
          </w:p>
          <w:p w14:paraId="5567FB3E"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There is no protocol between the CAC, NUPRC, MMSD and NEITI for the automatic exchange of BO data domiciled in the separate BO portals of these agencies.</w:t>
            </w:r>
          </w:p>
          <w:p w14:paraId="111E4B93" w14:textId="77777777" w:rsidR="00B45106" w:rsidRPr="00E62EE8" w:rsidRDefault="00B45106" w:rsidP="00420A22">
            <w:pPr>
              <w:jc w:val="both"/>
              <w:rPr>
                <w:rFonts w:ascii="Footlight MT Light" w:hAnsi="Footlight MT Light" w:cstheme="minorHAnsi"/>
                <w:sz w:val="24"/>
                <w:szCs w:val="24"/>
              </w:rPr>
            </w:pPr>
          </w:p>
          <w:p w14:paraId="5245F5E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 The CAMA 2020 does not have a definition of what is a PEP, and no definition/description of the disclosure requirement for a PEP as well (though a 2022 regulation by CAC applies the 5% BO data </w:t>
            </w:r>
            <w:r w:rsidRPr="00E62EE8">
              <w:rPr>
                <w:rFonts w:ascii="Footlight MT Light" w:hAnsi="Footlight MT Light" w:cstheme="minorHAnsi"/>
                <w:sz w:val="24"/>
                <w:szCs w:val="24"/>
              </w:rPr>
              <w:lastRenderedPageBreak/>
              <w:t xml:space="preserve">disclosure threshold to PEPS uniformly, the EITI believes this is inadequate as it leaves out PEPS below the 5% threshold). </w:t>
            </w:r>
          </w:p>
          <w:p w14:paraId="60F7A543" w14:textId="77777777" w:rsidR="00B45106" w:rsidRPr="00E62EE8" w:rsidRDefault="00B45106" w:rsidP="00420A22">
            <w:pPr>
              <w:jc w:val="both"/>
              <w:rPr>
                <w:rFonts w:ascii="Footlight MT Light" w:hAnsi="Footlight MT Light" w:cstheme="minorHAnsi"/>
                <w:sz w:val="24"/>
                <w:szCs w:val="24"/>
              </w:rPr>
            </w:pPr>
          </w:p>
          <w:p w14:paraId="178BEF5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PIA 2021 does not require NUPRC to collect BO data from all companies applying or bidding for extractive assets even if unsuccessful.</w:t>
            </w:r>
          </w:p>
          <w:p w14:paraId="6E694A3F" w14:textId="77777777" w:rsidR="00B45106" w:rsidRPr="00E62EE8" w:rsidRDefault="00B45106" w:rsidP="00420A22">
            <w:pPr>
              <w:jc w:val="both"/>
              <w:rPr>
                <w:rFonts w:ascii="Footlight MT Light" w:hAnsi="Footlight MT Light" w:cstheme="minorHAnsi"/>
                <w:sz w:val="24"/>
                <w:szCs w:val="24"/>
              </w:rPr>
            </w:pPr>
          </w:p>
          <w:p w14:paraId="58523FD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Foreign companies bidding or applying for oil and gas rights can apply to the Federal Ministry of Industry, Trade and Investment and get an exemption from providing BO data to CAC.</w:t>
            </w:r>
          </w:p>
          <w:p w14:paraId="6667AC69" w14:textId="77777777" w:rsidR="00B45106" w:rsidRPr="00E62EE8" w:rsidRDefault="00B45106" w:rsidP="00420A22">
            <w:pPr>
              <w:jc w:val="both"/>
              <w:rPr>
                <w:rFonts w:ascii="Footlight MT Light" w:hAnsi="Footlight MT Light" w:cstheme="minorHAnsi"/>
                <w:sz w:val="24"/>
                <w:szCs w:val="24"/>
              </w:rPr>
            </w:pPr>
          </w:p>
          <w:p w14:paraId="324E36C6"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BO data on crude oil buyers, third party vendors and suppliers collected by NNPC are not publicly disclosed on the NNPC website.</w:t>
            </w:r>
          </w:p>
        </w:tc>
        <w:tc>
          <w:tcPr>
            <w:tcW w:w="1518" w:type="dxa"/>
          </w:tcPr>
          <w:p w14:paraId="7D9822B7"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CAC</w:t>
            </w:r>
          </w:p>
          <w:p w14:paraId="5078D00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NUPRC</w:t>
            </w:r>
          </w:p>
          <w:p w14:paraId="45D2491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MMSD(MCO)</w:t>
            </w:r>
          </w:p>
          <w:p w14:paraId="2F4A739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NNPCL</w:t>
            </w:r>
          </w:p>
        </w:tc>
        <w:tc>
          <w:tcPr>
            <w:tcW w:w="2772" w:type="dxa"/>
          </w:tcPr>
          <w:p w14:paraId="5641FE5D"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Nigeria is required to disclose the beneficial owners of all companies holding or applying for </w:t>
            </w:r>
            <w:r w:rsidRPr="00E62EE8">
              <w:rPr>
                <w:rFonts w:ascii="Footlight MT Light" w:hAnsi="Footlight MT Light" w:cstheme="minorHAnsi"/>
                <w:sz w:val="24"/>
                <w:szCs w:val="24"/>
              </w:rPr>
              <w:lastRenderedPageBreak/>
              <w:t>extractive licenses, particularly for all extractive companies considered as ‘high risk’ by Nigeria EITI in recognition of the fact that minor gaps in public disclosure of beneficial ownership for ‘low risk’ companies may persist amidst continuous government efforts to ensure comprehensive disclosure of beneficial ownership data for extractives companies. Nigeria should ensure that the identity of any politically exposed person that is a beneficial owner of extractives companies be</w:t>
            </w:r>
          </w:p>
          <w:p w14:paraId="3CC815B2"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disclosed, regardless of the level of ownership. Nigeria is encouraged to continue efforts to enhance compliance with beneficial ownership disclosure requirements, both in the extractive industries and in other sectors. Nigeria could consider ways of integrating its various beneficial ownership </w:t>
            </w:r>
            <w:r w:rsidRPr="00E62EE8">
              <w:rPr>
                <w:rFonts w:ascii="Footlight MT Light" w:hAnsi="Footlight MT Light" w:cstheme="minorHAnsi"/>
                <w:sz w:val="24"/>
                <w:szCs w:val="24"/>
              </w:rPr>
              <w:lastRenderedPageBreak/>
              <w:t>registers built by different government agencies to improve the efficiency, comprehensiveness, and accuracy of ownership disclosures. Nigeria is required to ensure that the legal owners of all companies holding licenses or contracts in the mining, oil and gas sectors be publicly disclosed. The government is encouraged to strengthen its approach to implementing data reliability provisions for beneficial ownership disclosures, with a view to verification of disclosures beyond the requirement for management attestation of reporting.</w:t>
            </w:r>
          </w:p>
          <w:p w14:paraId="62F51452" w14:textId="77777777" w:rsidR="00B45106" w:rsidRPr="00E62EE8" w:rsidRDefault="00B45106" w:rsidP="00420A22">
            <w:pPr>
              <w:jc w:val="both"/>
              <w:rPr>
                <w:rFonts w:ascii="Footlight MT Light" w:hAnsi="Footlight MT Light" w:cstheme="minorHAnsi"/>
                <w:sz w:val="24"/>
                <w:szCs w:val="24"/>
              </w:rPr>
            </w:pPr>
          </w:p>
        </w:tc>
        <w:tc>
          <w:tcPr>
            <w:tcW w:w="3419" w:type="dxa"/>
          </w:tcPr>
          <w:p w14:paraId="6F1972A4"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-NEITI Secretariat to expedite collaboration with CAC for swift updates to the PSC portal, enhancing public access to </w:t>
            </w:r>
            <w:r w:rsidRPr="00E62EE8">
              <w:rPr>
                <w:rFonts w:ascii="Footlight MT Light" w:hAnsi="Footlight MT Light" w:cstheme="minorHAnsi"/>
                <w:sz w:val="24"/>
                <w:szCs w:val="24"/>
              </w:rPr>
              <w:lastRenderedPageBreak/>
              <w:t xml:space="preserve">Beneficial Ownership (BO) data. A similar approach should be taken with NUPRC. Additionally, NEITI should assist MMSD in launching and maintaining the proposed BO portal for the solid mineral sector, ensuring regular updates. </w:t>
            </w:r>
          </w:p>
          <w:p w14:paraId="3E4FEA26" w14:textId="77777777" w:rsidR="00B45106" w:rsidRPr="00E62EE8" w:rsidRDefault="00B45106" w:rsidP="00420A22">
            <w:pPr>
              <w:jc w:val="both"/>
              <w:rPr>
                <w:rFonts w:ascii="Footlight MT Light" w:hAnsi="Footlight MT Light" w:cstheme="minorHAnsi"/>
                <w:sz w:val="24"/>
                <w:szCs w:val="24"/>
              </w:rPr>
            </w:pPr>
          </w:p>
          <w:p w14:paraId="1AD6954A" w14:textId="77777777" w:rsidR="00B45106" w:rsidRPr="00E62EE8" w:rsidRDefault="00B45106" w:rsidP="00420A22">
            <w:pPr>
              <w:jc w:val="both"/>
              <w:rPr>
                <w:rFonts w:ascii="Footlight MT Light" w:hAnsi="Footlight MT Light" w:cstheme="minorHAnsi"/>
                <w:sz w:val="24"/>
                <w:szCs w:val="24"/>
              </w:rPr>
            </w:pPr>
          </w:p>
          <w:p w14:paraId="3529F76C" w14:textId="77777777" w:rsidR="00B45106" w:rsidRPr="00E62EE8" w:rsidRDefault="00B45106" w:rsidP="00420A22">
            <w:pPr>
              <w:jc w:val="both"/>
              <w:rPr>
                <w:rFonts w:ascii="Footlight MT Light" w:hAnsi="Footlight MT Light" w:cstheme="minorHAnsi"/>
                <w:sz w:val="24"/>
                <w:szCs w:val="24"/>
              </w:rPr>
            </w:pPr>
          </w:p>
          <w:p w14:paraId="2605C546" w14:textId="77777777" w:rsidR="00B45106" w:rsidRPr="00E62EE8" w:rsidRDefault="00B45106" w:rsidP="00420A22">
            <w:pPr>
              <w:jc w:val="both"/>
              <w:rPr>
                <w:rFonts w:ascii="Footlight MT Light" w:hAnsi="Footlight MT Light" w:cstheme="minorHAnsi"/>
                <w:sz w:val="24"/>
                <w:szCs w:val="24"/>
              </w:rPr>
            </w:pPr>
          </w:p>
          <w:p w14:paraId="466DDC81" w14:textId="77777777" w:rsidR="00B45106" w:rsidRPr="00E62EE8" w:rsidRDefault="00B45106" w:rsidP="00420A22">
            <w:pPr>
              <w:jc w:val="both"/>
              <w:rPr>
                <w:rFonts w:ascii="Footlight MT Light" w:hAnsi="Footlight MT Light" w:cstheme="minorHAnsi"/>
                <w:sz w:val="24"/>
                <w:szCs w:val="24"/>
              </w:rPr>
            </w:pPr>
          </w:p>
          <w:p w14:paraId="7FB1250A"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Secretariat to assist CAC, NUPRC, and MMSD in ensuring that publicly listed companies on their respective Beneficial Ownership (BO) data portals include URL links to relevant stock exchanges, providing comprehensive BO data of investors in Nigeria’s extractive assets.</w:t>
            </w:r>
          </w:p>
          <w:p w14:paraId="49E6EB37" w14:textId="77777777" w:rsidR="00B45106" w:rsidRPr="00E62EE8" w:rsidRDefault="00B45106" w:rsidP="00420A22">
            <w:pPr>
              <w:jc w:val="both"/>
              <w:rPr>
                <w:rFonts w:ascii="Footlight MT Light" w:hAnsi="Footlight MT Light" w:cstheme="minorHAnsi"/>
                <w:sz w:val="24"/>
                <w:szCs w:val="24"/>
              </w:rPr>
            </w:pPr>
          </w:p>
          <w:p w14:paraId="3ADA7D1D" w14:textId="77777777" w:rsidR="00B45106" w:rsidRPr="00E62EE8" w:rsidRDefault="00B45106" w:rsidP="00420A22">
            <w:pPr>
              <w:jc w:val="both"/>
              <w:rPr>
                <w:rFonts w:ascii="Footlight MT Light" w:hAnsi="Footlight MT Light" w:cstheme="minorHAnsi"/>
                <w:sz w:val="24"/>
                <w:szCs w:val="24"/>
              </w:rPr>
            </w:pPr>
          </w:p>
          <w:p w14:paraId="6AFE9D1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Secretariat to encourage CAC to develop the protocol that facilitates the automatic exchange of BO data between the CAC PSC portal and other relevant BO data portals.</w:t>
            </w:r>
          </w:p>
          <w:p w14:paraId="44DDA09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 NEITI Secretariat to encourage CAC to consider in future CAMA 2020 amendments or via regulation the inclusion of the </w:t>
            </w:r>
            <w:r w:rsidRPr="00E62EE8">
              <w:rPr>
                <w:rFonts w:ascii="Footlight MT Light" w:hAnsi="Footlight MT Light" w:cstheme="minorHAnsi"/>
                <w:sz w:val="24"/>
                <w:szCs w:val="24"/>
              </w:rPr>
              <w:lastRenderedPageBreak/>
              <w:t xml:space="preserve">definition of a PEP, and a description of the disclosure requirement for a PEP in CAMA. Also, CAC to consider mandating foreign companies bidding or applying for oil and gas rights to provide BO data to CAC or provide relevant URL links to their stock exchange(s). </w:t>
            </w:r>
          </w:p>
          <w:p w14:paraId="0565EED0" w14:textId="77777777" w:rsidR="00B45106" w:rsidRPr="00E62EE8" w:rsidRDefault="00B45106" w:rsidP="00420A22">
            <w:pPr>
              <w:jc w:val="both"/>
              <w:rPr>
                <w:rFonts w:ascii="Footlight MT Light" w:hAnsi="Footlight MT Light" w:cstheme="minorHAnsi"/>
                <w:sz w:val="24"/>
                <w:szCs w:val="24"/>
              </w:rPr>
            </w:pPr>
          </w:p>
          <w:p w14:paraId="32875903" w14:textId="77777777" w:rsidR="00B45106" w:rsidRPr="00E62EE8" w:rsidRDefault="00B45106" w:rsidP="00420A22">
            <w:pPr>
              <w:jc w:val="both"/>
              <w:rPr>
                <w:rFonts w:ascii="Footlight MT Light" w:hAnsi="Footlight MT Light" w:cstheme="minorHAnsi"/>
                <w:sz w:val="24"/>
                <w:szCs w:val="24"/>
              </w:rPr>
            </w:pPr>
          </w:p>
          <w:p w14:paraId="0D6E8B74" w14:textId="77777777" w:rsidR="00B45106" w:rsidRPr="00E62EE8" w:rsidRDefault="00B45106" w:rsidP="00420A22">
            <w:pPr>
              <w:jc w:val="both"/>
              <w:rPr>
                <w:rFonts w:ascii="Footlight MT Light" w:hAnsi="Footlight MT Light" w:cstheme="minorHAnsi"/>
                <w:sz w:val="24"/>
                <w:szCs w:val="24"/>
              </w:rPr>
            </w:pPr>
          </w:p>
          <w:p w14:paraId="64E89FEE" w14:textId="77777777" w:rsidR="00B45106" w:rsidRPr="00E62EE8" w:rsidRDefault="00B45106" w:rsidP="00420A22">
            <w:pPr>
              <w:jc w:val="both"/>
              <w:rPr>
                <w:rFonts w:ascii="Footlight MT Light" w:hAnsi="Footlight MT Light" w:cstheme="minorHAnsi"/>
                <w:sz w:val="24"/>
                <w:szCs w:val="24"/>
              </w:rPr>
            </w:pPr>
          </w:p>
          <w:p w14:paraId="4B4C4F8B"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Secretariat to encourage NUPRC to consider in future amendments to PIA 2021 or via regulation mandate the collection of BO data from companies applying or bidding for oil and gas rights in Nigeria.</w:t>
            </w:r>
          </w:p>
          <w:p w14:paraId="4994586B" w14:textId="77777777" w:rsidR="00B45106" w:rsidRPr="00E62EE8" w:rsidRDefault="00B45106" w:rsidP="00420A22">
            <w:pPr>
              <w:jc w:val="both"/>
              <w:rPr>
                <w:rFonts w:ascii="Footlight MT Light" w:hAnsi="Footlight MT Light" w:cstheme="minorHAnsi"/>
                <w:sz w:val="24"/>
                <w:szCs w:val="24"/>
              </w:rPr>
            </w:pPr>
          </w:p>
          <w:p w14:paraId="5B10E14D"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w:t>
            </w:r>
            <w:r w:rsidRPr="00E62EE8">
              <w:rPr>
                <w:rFonts w:ascii="Footlight MT Light" w:hAnsi="Footlight MT Light"/>
                <w:sz w:val="24"/>
                <w:szCs w:val="24"/>
              </w:rPr>
              <w:t xml:space="preserve"> </w:t>
            </w:r>
            <w:r w:rsidRPr="00E62EE8">
              <w:rPr>
                <w:rFonts w:ascii="Footlight MT Light" w:hAnsi="Footlight MT Light" w:cstheme="minorHAnsi"/>
                <w:sz w:val="24"/>
                <w:szCs w:val="24"/>
              </w:rPr>
              <w:t>NEITI should initiate discussions with NNPC to ensure systematic disclosure of crude oil buyers, third party vendors and suppliers Beneficial Ownership (BO) data on the NNPC website.</w:t>
            </w:r>
          </w:p>
        </w:tc>
      </w:tr>
      <w:tr w:rsidR="00B45106" w:rsidRPr="00E62EE8" w14:paraId="0099155B" w14:textId="77777777" w:rsidTr="00420A22">
        <w:tc>
          <w:tcPr>
            <w:tcW w:w="1030" w:type="dxa"/>
          </w:tcPr>
          <w:p w14:paraId="6B870A26" w14:textId="77777777" w:rsidR="00B45106" w:rsidRPr="00E62EE8" w:rsidRDefault="00B45106" w:rsidP="00420A22">
            <w:pPr>
              <w:rPr>
                <w:rFonts w:ascii="Footlight MT Light" w:hAnsi="Footlight MT Light" w:cstheme="minorHAnsi"/>
                <w:sz w:val="24"/>
                <w:szCs w:val="24"/>
              </w:rPr>
            </w:pPr>
          </w:p>
        </w:tc>
        <w:tc>
          <w:tcPr>
            <w:tcW w:w="1566" w:type="dxa"/>
          </w:tcPr>
          <w:p w14:paraId="369D4300"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4A201FC1"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2.6</w:t>
            </w:r>
          </w:p>
          <w:p w14:paraId="4D6F1743"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State Participation</w:t>
            </w:r>
          </w:p>
        </w:tc>
        <w:tc>
          <w:tcPr>
            <w:tcW w:w="2588" w:type="dxa"/>
          </w:tcPr>
          <w:p w14:paraId="39DC519D"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No description of the reformed financial relationship between NNPC Limited and the </w:t>
            </w:r>
            <w:r w:rsidRPr="00E62EE8">
              <w:rPr>
                <w:rFonts w:ascii="Footlight MT Light" w:hAnsi="Footlight MT Light" w:cstheme="minorHAnsi"/>
                <w:sz w:val="24"/>
                <w:szCs w:val="24"/>
              </w:rPr>
              <w:lastRenderedPageBreak/>
              <w:t>State. Also, rules related to NNPC’s entitlement to transfers from the federation and NNPCL ability to raise third-party debt financing are not disclosed comprehensively by NNPCL.</w:t>
            </w:r>
          </w:p>
          <w:p w14:paraId="5433B991" w14:textId="77777777" w:rsidR="00B45106" w:rsidRPr="00E62EE8" w:rsidRDefault="00B45106" w:rsidP="00420A22">
            <w:pPr>
              <w:jc w:val="both"/>
              <w:rPr>
                <w:rFonts w:ascii="Footlight MT Light" w:hAnsi="Footlight MT Light" w:cstheme="minorHAnsi"/>
                <w:sz w:val="24"/>
                <w:szCs w:val="24"/>
              </w:rPr>
            </w:pPr>
          </w:p>
          <w:p w14:paraId="5F62DF1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No clarification of NNPCL’s financial relations with JV companies whose operations are not consolidated in the NNPC group’s balance sheet. For instance, there is no comprehensive financial statement for all JVs in which NNPC holds equity interest (excluding certain trading JV incorporated offshore).</w:t>
            </w:r>
          </w:p>
          <w:p w14:paraId="6F157960" w14:textId="77777777" w:rsidR="00B45106" w:rsidRPr="00E62EE8" w:rsidRDefault="00B45106" w:rsidP="00420A22">
            <w:pPr>
              <w:jc w:val="both"/>
              <w:rPr>
                <w:rFonts w:ascii="Footlight MT Light" w:hAnsi="Footlight MT Light" w:cstheme="minorHAnsi"/>
                <w:sz w:val="24"/>
                <w:szCs w:val="24"/>
              </w:rPr>
            </w:pPr>
          </w:p>
          <w:p w14:paraId="25DE5A07"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Full disclosure on the terms and conditions of resource-backed loans (e.g., project Eagle) are not comprehensively disclosed either systematically or via EITI reporting.</w:t>
            </w:r>
          </w:p>
          <w:p w14:paraId="5E3085A6" w14:textId="77777777" w:rsidR="00B45106" w:rsidRPr="00E62EE8" w:rsidRDefault="00B45106" w:rsidP="00420A22">
            <w:pPr>
              <w:jc w:val="both"/>
              <w:rPr>
                <w:rFonts w:ascii="Footlight MT Light" w:hAnsi="Footlight MT Light" w:cstheme="minorHAnsi"/>
                <w:sz w:val="24"/>
                <w:szCs w:val="24"/>
              </w:rPr>
            </w:pPr>
          </w:p>
          <w:p w14:paraId="0684199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NNPC AFS are not hosted on the NNPCL website in open accessible formats.</w:t>
            </w:r>
          </w:p>
          <w:p w14:paraId="14D72328" w14:textId="77777777" w:rsidR="00B45106" w:rsidRPr="00E62EE8" w:rsidRDefault="00B45106" w:rsidP="00420A22">
            <w:pPr>
              <w:jc w:val="both"/>
              <w:rPr>
                <w:rFonts w:ascii="Footlight MT Light" w:hAnsi="Footlight MT Light" w:cstheme="minorHAnsi"/>
                <w:sz w:val="24"/>
                <w:szCs w:val="24"/>
              </w:rPr>
            </w:pPr>
          </w:p>
          <w:p w14:paraId="1C6C72D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-Carried interest arrangements for some MCAs are not comprehensively disclosed neither systematically via NNPC website nor through EITI reporting.</w:t>
            </w:r>
          </w:p>
          <w:p w14:paraId="077DD276" w14:textId="77777777" w:rsidR="00B45106" w:rsidRPr="00E62EE8" w:rsidRDefault="00B45106" w:rsidP="00420A22">
            <w:pPr>
              <w:jc w:val="both"/>
              <w:rPr>
                <w:rFonts w:ascii="Footlight MT Light" w:hAnsi="Footlight MT Light" w:cstheme="minorHAnsi"/>
                <w:sz w:val="24"/>
                <w:szCs w:val="24"/>
              </w:rPr>
            </w:pPr>
          </w:p>
        </w:tc>
        <w:tc>
          <w:tcPr>
            <w:tcW w:w="1518" w:type="dxa"/>
          </w:tcPr>
          <w:p w14:paraId="00FFA920"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NNPC</w:t>
            </w:r>
          </w:p>
        </w:tc>
        <w:tc>
          <w:tcPr>
            <w:tcW w:w="2772" w:type="dxa"/>
          </w:tcPr>
          <w:p w14:paraId="6B07E33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xml:space="preserve">Nigeria should ensure public disclosures from the government and NNPC of their level of </w:t>
            </w:r>
            <w:r w:rsidRPr="00E62EE8">
              <w:rPr>
                <w:rFonts w:ascii="Footlight MT Light" w:hAnsi="Footlight MT Light" w:cstheme="minorHAnsi"/>
                <w:sz w:val="24"/>
                <w:szCs w:val="24"/>
              </w:rPr>
              <w:lastRenderedPageBreak/>
              <w:t xml:space="preserve">ownership in mining, oil and gas companies operating within the country’s oil, gas and mining sector, including clarity on which assets are managed in NNPC’s commercial interests and which assets are managed on the Federal Government’s behalf. These disclosures should cover all extractives subsidiaries and joint ventures in which NNPC holds majority equity interests, including those not consolidated into the NNPC group’s balance sheet. This information should include details regarding the terms attached to their equity stake, including their level of responsibility for covering expenses at various phases of the project cycle, e.g., full-paid equity, free equity or carried interest. Where there have been changes in the level of government and NNPC ownership during the EITI reporting period, the government </w:t>
            </w:r>
            <w:r w:rsidRPr="00E62EE8">
              <w:rPr>
                <w:rFonts w:ascii="Footlight MT Light" w:hAnsi="Footlight MT Light" w:cstheme="minorHAnsi"/>
                <w:sz w:val="24"/>
                <w:szCs w:val="24"/>
              </w:rPr>
              <w:lastRenderedPageBreak/>
              <w:t>and NNPC are expected to disclose the terms of the transaction, including details regarding valuation and revenues. Where the government or NNPC have provided loans or loan guarantees to mining, oil and gas companies operating within the country, details on these transactions should be disclosed, including loan tenor and terms (i.e., repayment schedule and interest rate). To strengthen implementation, Nigeria could consider using its EITI reporting as a diagnostic of NNPC’s practices in operating and capital expenditure management, procurement, subcontracting and corporate governance, covering both the NNPC group and its extractives subsidiaries and joint ventures.</w:t>
            </w:r>
          </w:p>
          <w:p w14:paraId="28A40CAC" w14:textId="77777777" w:rsidR="00B45106" w:rsidRPr="00E62EE8" w:rsidRDefault="00B45106" w:rsidP="00420A22">
            <w:pPr>
              <w:jc w:val="both"/>
              <w:rPr>
                <w:rFonts w:ascii="Footlight MT Light" w:hAnsi="Footlight MT Light" w:cstheme="minorHAnsi"/>
                <w:sz w:val="24"/>
                <w:szCs w:val="24"/>
              </w:rPr>
            </w:pPr>
          </w:p>
          <w:p w14:paraId="3886EC24" w14:textId="77777777" w:rsidR="00B45106" w:rsidRPr="00E62EE8" w:rsidRDefault="00B45106" w:rsidP="00420A22">
            <w:pPr>
              <w:jc w:val="both"/>
              <w:rPr>
                <w:rFonts w:ascii="Footlight MT Light" w:hAnsi="Footlight MT Light" w:cstheme="minorHAnsi"/>
                <w:sz w:val="24"/>
                <w:szCs w:val="24"/>
              </w:rPr>
            </w:pPr>
          </w:p>
        </w:tc>
        <w:tc>
          <w:tcPr>
            <w:tcW w:w="3419" w:type="dxa"/>
          </w:tcPr>
          <w:p w14:paraId="2B1DE9C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NEITI to engage NNPC on strategies to obtain, and for NNPCL to disclose this </w:t>
            </w:r>
            <w:r w:rsidRPr="00E62EE8">
              <w:rPr>
                <w:rFonts w:ascii="Footlight MT Light" w:hAnsi="Footlight MT Light" w:cstheme="minorHAnsi"/>
                <w:sz w:val="24"/>
                <w:szCs w:val="24"/>
              </w:rPr>
              <w:lastRenderedPageBreak/>
              <w:t>information on the NNPCL website.</w:t>
            </w:r>
          </w:p>
          <w:p w14:paraId="359D98A9" w14:textId="77777777" w:rsidR="00B45106" w:rsidRPr="00E62EE8" w:rsidRDefault="00B45106" w:rsidP="00420A22">
            <w:pPr>
              <w:jc w:val="both"/>
              <w:rPr>
                <w:rFonts w:ascii="Footlight MT Light" w:hAnsi="Footlight MT Light" w:cstheme="minorHAnsi"/>
                <w:sz w:val="24"/>
                <w:szCs w:val="24"/>
              </w:rPr>
            </w:pPr>
          </w:p>
          <w:p w14:paraId="79F6556C"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to engage NNPC to confirm if there were any changes in participating interest in oil and gas projects.</w:t>
            </w:r>
          </w:p>
          <w:p w14:paraId="7A37FBC1" w14:textId="77777777" w:rsidR="00B45106" w:rsidRPr="00E62EE8" w:rsidRDefault="00B45106" w:rsidP="00420A22">
            <w:pPr>
              <w:jc w:val="both"/>
              <w:rPr>
                <w:rFonts w:ascii="Footlight MT Light" w:hAnsi="Footlight MT Light" w:cstheme="minorHAnsi"/>
                <w:sz w:val="24"/>
                <w:szCs w:val="24"/>
              </w:rPr>
            </w:pPr>
          </w:p>
          <w:p w14:paraId="50C20E2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 NEITI to engage NNPC on strategies to obtain, and for NNPCL to disclose this information on the NNPCL website.</w:t>
            </w:r>
          </w:p>
          <w:p w14:paraId="3FA4DAEF" w14:textId="77777777" w:rsidR="00B45106" w:rsidRPr="00E62EE8" w:rsidRDefault="00B45106" w:rsidP="00420A22">
            <w:pPr>
              <w:jc w:val="both"/>
              <w:rPr>
                <w:rFonts w:ascii="Footlight MT Light" w:hAnsi="Footlight MT Light" w:cstheme="minorHAnsi"/>
                <w:sz w:val="24"/>
                <w:szCs w:val="24"/>
              </w:rPr>
            </w:pPr>
          </w:p>
          <w:p w14:paraId="326FDF96" w14:textId="77777777" w:rsidR="00B45106" w:rsidRPr="00E62EE8" w:rsidRDefault="00B45106" w:rsidP="00420A22">
            <w:pPr>
              <w:jc w:val="both"/>
              <w:rPr>
                <w:rFonts w:ascii="Footlight MT Light" w:hAnsi="Footlight MT Light" w:cstheme="minorHAnsi"/>
                <w:sz w:val="24"/>
                <w:szCs w:val="24"/>
              </w:rPr>
            </w:pPr>
          </w:p>
          <w:p w14:paraId="08E15264" w14:textId="77777777" w:rsidR="00B45106" w:rsidRPr="00E62EE8" w:rsidRDefault="00B45106" w:rsidP="00420A22">
            <w:pPr>
              <w:jc w:val="both"/>
              <w:rPr>
                <w:rFonts w:ascii="Footlight MT Light" w:hAnsi="Footlight MT Light" w:cstheme="minorHAnsi"/>
                <w:sz w:val="24"/>
                <w:szCs w:val="24"/>
              </w:rPr>
            </w:pPr>
          </w:p>
          <w:p w14:paraId="47227216" w14:textId="77777777" w:rsidR="00B45106" w:rsidRPr="00E62EE8" w:rsidRDefault="00B45106" w:rsidP="00420A22">
            <w:pPr>
              <w:jc w:val="both"/>
              <w:rPr>
                <w:rFonts w:ascii="Footlight MT Light" w:hAnsi="Footlight MT Light" w:cstheme="minorHAnsi"/>
                <w:sz w:val="24"/>
                <w:szCs w:val="24"/>
              </w:rPr>
            </w:pPr>
          </w:p>
          <w:p w14:paraId="0F7F92D5" w14:textId="77777777" w:rsidR="00B45106" w:rsidRPr="00E62EE8" w:rsidRDefault="00B45106" w:rsidP="00420A22">
            <w:pPr>
              <w:jc w:val="both"/>
              <w:rPr>
                <w:rFonts w:ascii="Footlight MT Light" w:hAnsi="Footlight MT Light" w:cstheme="minorHAnsi"/>
                <w:sz w:val="24"/>
                <w:szCs w:val="24"/>
              </w:rPr>
            </w:pPr>
          </w:p>
          <w:p w14:paraId="2C30AAE1" w14:textId="77777777" w:rsidR="00B45106" w:rsidRPr="00E62EE8" w:rsidRDefault="00B45106" w:rsidP="00420A22">
            <w:pPr>
              <w:jc w:val="both"/>
              <w:rPr>
                <w:rFonts w:ascii="Footlight MT Light" w:hAnsi="Footlight MT Light" w:cstheme="minorHAnsi"/>
                <w:sz w:val="24"/>
                <w:szCs w:val="24"/>
              </w:rPr>
            </w:pPr>
          </w:p>
          <w:p w14:paraId="621847BD" w14:textId="77777777" w:rsidR="00B45106" w:rsidRPr="00E62EE8" w:rsidRDefault="00B45106" w:rsidP="00420A22">
            <w:pPr>
              <w:jc w:val="both"/>
              <w:rPr>
                <w:rFonts w:ascii="Footlight MT Light" w:hAnsi="Footlight MT Light" w:cstheme="minorHAnsi"/>
                <w:sz w:val="24"/>
                <w:szCs w:val="24"/>
              </w:rPr>
            </w:pPr>
          </w:p>
          <w:p w14:paraId="5884FADF" w14:textId="77777777" w:rsidR="00B45106" w:rsidRPr="00E62EE8" w:rsidRDefault="00B45106" w:rsidP="00420A22">
            <w:pPr>
              <w:rPr>
                <w:rFonts w:ascii="Footlight MT Light" w:hAnsi="Footlight MT Light" w:cstheme="minorHAnsi"/>
                <w:sz w:val="24"/>
                <w:szCs w:val="24"/>
              </w:rPr>
            </w:pPr>
          </w:p>
        </w:tc>
      </w:tr>
      <w:tr w:rsidR="00B45106" w:rsidRPr="00E62EE8" w14:paraId="38627E8F" w14:textId="77777777" w:rsidTr="00420A22">
        <w:tc>
          <w:tcPr>
            <w:tcW w:w="1030" w:type="dxa"/>
          </w:tcPr>
          <w:p w14:paraId="0BD4FD75" w14:textId="77777777" w:rsidR="00B45106" w:rsidRPr="00E62EE8" w:rsidRDefault="00B45106" w:rsidP="00420A22">
            <w:pPr>
              <w:rPr>
                <w:rFonts w:ascii="Footlight MT Light" w:hAnsi="Footlight MT Light" w:cstheme="minorHAnsi"/>
                <w:sz w:val="24"/>
                <w:szCs w:val="24"/>
              </w:rPr>
            </w:pPr>
          </w:p>
        </w:tc>
        <w:tc>
          <w:tcPr>
            <w:tcW w:w="1566" w:type="dxa"/>
          </w:tcPr>
          <w:p w14:paraId="050C2A3B"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3EBCC54E"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Requirement 4.2 In-kind revenue sales</w:t>
            </w:r>
          </w:p>
        </w:tc>
        <w:tc>
          <w:tcPr>
            <w:tcW w:w="2588" w:type="dxa"/>
          </w:tcPr>
          <w:p w14:paraId="6AEA157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Inadequate transparency in the selection of oil and gas buyers, insufficient disclosure comparisons between purchasing companies' reported purchases and NNPC disclosures, and a lack of stakeholder analysis/comparisons between realized sales values and corresponding market values for these commodities.</w:t>
            </w:r>
          </w:p>
        </w:tc>
        <w:tc>
          <w:tcPr>
            <w:tcW w:w="1518" w:type="dxa"/>
          </w:tcPr>
          <w:p w14:paraId="314578F4"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NNPC</w:t>
            </w:r>
          </w:p>
          <w:p w14:paraId="513DE78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w:t>
            </w:r>
          </w:p>
        </w:tc>
        <w:tc>
          <w:tcPr>
            <w:tcW w:w="2772" w:type="dxa"/>
          </w:tcPr>
          <w:p w14:paraId="4EE728EA"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Nigeria is strongly encouraged to expand its use of EITI disclosures to provide an annual diagnostic of the rules and practices related to the process for selecting the buying companies, the technical and</w:t>
            </w:r>
          </w:p>
          <w:p w14:paraId="151965D0"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financial criteria used to make the selection, the list of selected buying companies, any material deviations from the applicable legal and regulatory framework governing the selection of buying companies, and the related sales agreements. Companies buying oil and gas resources from the state, including from NNPC (or third parties appointed to sell on their behalf), are encouraged to disclose volumes received from the state or NNPC or its marketing agent where applicable, and payments made for the purchase of oil and gas resources.</w:t>
            </w:r>
          </w:p>
        </w:tc>
        <w:tc>
          <w:tcPr>
            <w:tcW w:w="3419" w:type="dxa"/>
          </w:tcPr>
          <w:p w14:paraId="0A63970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 to engage NNPC on strategies to obtain, and for NNPCL to disclose this and similar information on the NNPCL website going forward.</w:t>
            </w:r>
          </w:p>
          <w:p w14:paraId="29A4F547" w14:textId="77777777" w:rsidR="00B45106" w:rsidRPr="00E62EE8" w:rsidRDefault="00B45106" w:rsidP="00420A22">
            <w:pPr>
              <w:rPr>
                <w:rFonts w:ascii="Footlight MT Light" w:hAnsi="Footlight MT Light" w:cstheme="minorHAnsi"/>
                <w:sz w:val="24"/>
                <w:szCs w:val="24"/>
              </w:rPr>
            </w:pPr>
          </w:p>
        </w:tc>
      </w:tr>
      <w:tr w:rsidR="00B45106" w:rsidRPr="00E62EE8" w14:paraId="05EC9E3D" w14:textId="77777777" w:rsidTr="00420A22">
        <w:tc>
          <w:tcPr>
            <w:tcW w:w="1030" w:type="dxa"/>
          </w:tcPr>
          <w:p w14:paraId="359DFEA7" w14:textId="77777777" w:rsidR="00B45106" w:rsidRPr="00E62EE8" w:rsidRDefault="00B45106" w:rsidP="00420A22">
            <w:pPr>
              <w:rPr>
                <w:rFonts w:ascii="Footlight MT Light" w:hAnsi="Footlight MT Light" w:cstheme="minorHAnsi"/>
                <w:sz w:val="24"/>
                <w:szCs w:val="24"/>
              </w:rPr>
            </w:pPr>
          </w:p>
        </w:tc>
        <w:tc>
          <w:tcPr>
            <w:tcW w:w="1566" w:type="dxa"/>
          </w:tcPr>
          <w:p w14:paraId="093F2A2F"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5741F48F"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 xml:space="preserve">Requirement 4.3 Barter arrangements </w:t>
            </w:r>
            <w:r w:rsidRPr="00E62EE8">
              <w:rPr>
                <w:rFonts w:ascii="Footlight MT Light" w:hAnsi="Footlight MT Light" w:cstheme="minorHAnsi"/>
                <w:sz w:val="24"/>
                <w:szCs w:val="24"/>
              </w:rPr>
              <w:lastRenderedPageBreak/>
              <w:t>and infrastructure provisions</w:t>
            </w:r>
          </w:p>
        </w:tc>
        <w:tc>
          <w:tcPr>
            <w:tcW w:w="2588" w:type="dxa"/>
          </w:tcPr>
          <w:p w14:paraId="18500797"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No comprehensive disclosure of the terms </w:t>
            </w:r>
            <w:r w:rsidRPr="00E62EE8">
              <w:rPr>
                <w:rFonts w:ascii="Footlight MT Light" w:hAnsi="Footlight MT Light" w:cstheme="minorHAnsi"/>
                <w:sz w:val="24"/>
                <w:szCs w:val="24"/>
              </w:rPr>
              <w:lastRenderedPageBreak/>
              <w:t>underpinning ‘Project Eagle’ etc.</w:t>
            </w:r>
          </w:p>
          <w:p w14:paraId="513FE613" w14:textId="77777777" w:rsidR="00B45106" w:rsidRPr="00E62EE8" w:rsidRDefault="00B45106" w:rsidP="00420A22">
            <w:pPr>
              <w:jc w:val="both"/>
              <w:rPr>
                <w:rFonts w:ascii="Footlight MT Light" w:hAnsi="Footlight MT Light" w:cstheme="minorHAnsi"/>
                <w:sz w:val="24"/>
                <w:szCs w:val="24"/>
              </w:rPr>
            </w:pPr>
          </w:p>
        </w:tc>
        <w:tc>
          <w:tcPr>
            <w:tcW w:w="1518" w:type="dxa"/>
          </w:tcPr>
          <w:p w14:paraId="1B6A45EA"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NNPC</w:t>
            </w:r>
          </w:p>
        </w:tc>
        <w:tc>
          <w:tcPr>
            <w:tcW w:w="2772" w:type="dxa"/>
          </w:tcPr>
          <w:p w14:paraId="5708E1C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Nigeria is required to consider whether there are</w:t>
            </w:r>
          </w:p>
          <w:p w14:paraId="0ACA328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lastRenderedPageBreak/>
              <w:t>any agreements or sets of agreements involving the provision of goods and services</w:t>
            </w:r>
          </w:p>
          <w:p w14:paraId="0A008D4E"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w:t>
            </w:r>
            <w:proofErr w:type="gramStart"/>
            <w:r w:rsidRPr="00E62EE8">
              <w:rPr>
                <w:rFonts w:ascii="Footlight MT Light" w:hAnsi="Footlight MT Light" w:cstheme="minorHAnsi"/>
                <w:sz w:val="24"/>
                <w:szCs w:val="24"/>
              </w:rPr>
              <w:t>including</w:t>
            </w:r>
            <w:proofErr w:type="gramEnd"/>
            <w:r w:rsidRPr="00E62EE8">
              <w:rPr>
                <w:rFonts w:ascii="Footlight MT Light" w:hAnsi="Footlight MT Light" w:cstheme="minorHAnsi"/>
                <w:sz w:val="24"/>
                <w:szCs w:val="24"/>
              </w:rPr>
              <w:t xml:space="preserve"> loans, grants and infrastructure works), in full or partial exchange for oil, gas</w:t>
            </w:r>
          </w:p>
          <w:p w14:paraId="5239A846"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or mining exploration or production concessions or physical delivery of such</w:t>
            </w:r>
          </w:p>
          <w:p w14:paraId="08F97573"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commodities, including both resource-backed loans and direct-sales-direct-purchases</w:t>
            </w:r>
          </w:p>
          <w:p w14:paraId="651B8575"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(DSDP) arrangements. Where NEITI concludes that these agreements are material,</w:t>
            </w:r>
          </w:p>
          <w:p w14:paraId="6BDBBAAF"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Nigeria is required to ensure that EITI implementation addresses these agreements and</w:t>
            </w:r>
          </w:p>
          <w:p w14:paraId="6795BBF7"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disclosures provide a level of detail and disaggregation commensurate with the other</w:t>
            </w:r>
          </w:p>
          <w:p w14:paraId="7658DE40"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payments and revenue streams, including public disclosure of the key terms of the</w:t>
            </w:r>
          </w:p>
          <w:p w14:paraId="4A53303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agreements, including interest rates on resource-</w:t>
            </w:r>
            <w:r w:rsidRPr="00E62EE8">
              <w:rPr>
                <w:rFonts w:ascii="Footlight MT Light" w:hAnsi="Footlight MT Light" w:cstheme="minorHAnsi"/>
                <w:sz w:val="24"/>
                <w:szCs w:val="24"/>
              </w:rPr>
              <w:lastRenderedPageBreak/>
              <w:t>backed loans. Nigeria EITI is</w:t>
            </w:r>
          </w:p>
          <w:p w14:paraId="746C93DA"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encouraged to reconsider the existence of barter agreements and infrastructure</w:t>
            </w:r>
          </w:p>
          <w:p w14:paraId="0470FA0D"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provisions on an annual basis</w:t>
            </w:r>
          </w:p>
        </w:tc>
        <w:tc>
          <w:tcPr>
            <w:tcW w:w="3419" w:type="dxa"/>
          </w:tcPr>
          <w:p w14:paraId="7D356EE7"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lastRenderedPageBreak/>
              <w:t xml:space="preserve">-NEITI to engage NNPC on strategies to obtain, and for NNPCL to disclose this and </w:t>
            </w:r>
            <w:r w:rsidRPr="00E62EE8">
              <w:rPr>
                <w:rFonts w:ascii="Footlight MT Light" w:hAnsi="Footlight MT Light" w:cstheme="minorHAnsi"/>
                <w:sz w:val="24"/>
                <w:szCs w:val="24"/>
              </w:rPr>
              <w:lastRenderedPageBreak/>
              <w:t>similar information on the NNPCL website regularly going forward</w:t>
            </w:r>
          </w:p>
        </w:tc>
      </w:tr>
      <w:tr w:rsidR="00B45106" w:rsidRPr="00E62EE8" w14:paraId="05E24F83" w14:textId="77777777" w:rsidTr="00420A22">
        <w:tc>
          <w:tcPr>
            <w:tcW w:w="1030" w:type="dxa"/>
          </w:tcPr>
          <w:p w14:paraId="617F499F" w14:textId="77777777" w:rsidR="00B45106" w:rsidRPr="00E62EE8" w:rsidRDefault="00B45106" w:rsidP="00420A22">
            <w:pPr>
              <w:rPr>
                <w:rFonts w:ascii="Footlight MT Light" w:hAnsi="Footlight MT Light" w:cstheme="minorHAnsi"/>
                <w:sz w:val="24"/>
                <w:szCs w:val="24"/>
              </w:rPr>
            </w:pPr>
          </w:p>
        </w:tc>
        <w:tc>
          <w:tcPr>
            <w:tcW w:w="1566" w:type="dxa"/>
          </w:tcPr>
          <w:p w14:paraId="6B385331"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Transparency Template</w:t>
            </w:r>
          </w:p>
        </w:tc>
        <w:tc>
          <w:tcPr>
            <w:tcW w:w="1997" w:type="dxa"/>
          </w:tcPr>
          <w:p w14:paraId="6ADC775C"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Requirement 6.2</w:t>
            </w:r>
          </w:p>
          <w:p w14:paraId="26DBE84E"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Quasi Fiscal Expenditure</w:t>
            </w:r>
          </w:p>
        </w:tc>
        <w:tc>
          <w:tcPr>
            <w:tcW w:w="2588" w:type="dxa"/>
          </w:tcPr>
          <w:p w14:paraId="5D6BB0C1"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The highly aggregated nature of NNPC deductions data renders them not useful for analysis. The value of NNPC’s quasi-fiscal expenditures on fuel subsidies is not published disaggregated by individual fuel marketing company claiming repayments of fuel subsidies.</w:t>
            </w:r>
          </w:p>
          <w:p w14:paraId="0768D3B4" w14:textId="77777777" w:rsidR="00B45106" w:rsidRPr="00E62EE8" w:rsidRDefault="00B45106" w:rsidP="00420A22">
            <w:pPr>
              <w:jc w:val="both"/>
              <w:rPr>
                <w:rFonts w:ascii="Footlight MT Light" w:hAnsi="Footlight MT Light" w:cstheme="minorHAnsi"/>
                <w:sz w:val="24"/>
                <w:szCs w:val="24"/>
              </w:rPr>
            </w:pPr>
          </w:p>
          <w:p w14:paraId="5B8E4FF8" w14:textId="77777777" w:rsidR="00B45106" w:rsidRPr="00E62EE8" w:rsidRDefault="00B45106" w:rsidP="00420A22">
            <w:pPr>
              <w:jc w:val="both"/>
              <w:rPr>
                <w:rFonts w:ascii="Footlight MT Light" w:hAnsi="Footlight MT Light" w:cstheme="minorHAnsi"/>
                <w:sz w:val="24"/>
                <w:szCs w:val="24"/>
              </w:rPr>
            </w:pPr>
          </w:p>
        </w:tc>
        <w:tc>
          <w:tcPr>
            <w:tcW w:w="1518" w:type="dxa"/>
          </w:tcPr>
          <w:p w14:paraId="7D9EC40B"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NNPC</w:t>
            </w:r>
          </w:p>
        </w:tc>
        <w:tc>
          <w:tcPr>
            <w:tcW w:w="2772" w:type="dxa"/>
          </w:tcPr>
          <w:p w14:paraId="4ED3C9DD"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Nigeria is required to review all types of spending</w:t>
            </w:r>
          </w:p>
          <w:p w14:paraId="2DF40478"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by the NNPC and any other extractive SOE with a view identifying expenditures that could be categorized as quasi-fiscal. Nigeria EITI is required to develop a reporting process for NNPC’s quasi-fiscal expenditures with a view to achieving a level of transparency commensurate with other payments and revenue streams and should include NNPC subsidiaries and joint ventures.</w:t>
            </w:r>
          </w:p>
        </w:tc>
        <w:tc>
          <w:tcPr>
            <w:tcW w:w="3419" w:type="dxa"/>
          </w:tcPr>
          <w:p w14:paraId="055C39A0"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 secretariat to encourage NNPCL to disaggregate QFE and non-QFE deductions in the deductions data NNPCL systematically discloses and supplies to NEITI in the EITI reporting process.</w:t>
            </w:r>
          </w:p>
          <w:p w14:paraId="3E1B7449" w14:textId="77777777" w:rsidR="00B45106" w:rsidRPr="00E62EE8" w:rsidRDefault="00B45106" w:rsidP="00420A22">
            <w:pPr>
              <w:jc w:val="both"/>
              <w:rPr>
                <w:rFonts w:ascii="Footlight MT Light" w:hAnsi="Footlight MT Light" w:cstheme="minorHAnsi"/>
                <w:sz w:val="24"/>
                <w:szCs w:val="24"/>
              </w:rPr>
            </w:pPr>
          </w:p>
          <w:p w14:paraId="3E48E119" w14:textId="77777777" w:rsidR="00B45106" w:rsidRPr="00E62EE8" w:rsidRDefault="00B45106" w:rsidP="00420A22">
            <w:pPr>
              <w:jc w:val="both"/>
              <w:rPr>
                <w:rFonts w:ascii="Footlight MT Light" w:hAnsi="Footlight MT Light" w:cstheme="minorHAnsi"/>
                <w:sz w:val="24"/>
                <w:szCs w:val="24"/>
              </w:rPr>
            </w:pPr>
            <w:r w:rsidRPr="00E62EE8">
              <w:rPr>
                <w:rFonts w:ascii="Footlight MT Light" w:hAnsi="Footlight MT Light" w:cstheme="minorHAnsi"/>
                <w:sz w:val="24"/>
                <w:szCs w:val="24"/>
              </w:rPr>
              <w:t>-NEITI to classify liftings from OML119 meant for reimbursement of the “Pre-Export Financing and Project Eagle” resource-backed loans as QFEs’.</w:t>
            </w:r>
          </w:p>
          <w:p w14:paraId="0CF047FD" w14:textId="77777777" w:rsidR="00B45106" w:rsidRPr="00E62EE8" w:rsidRDefault="00B45106" w:rsidP="00420A22">
            <w:pPr>
              <w:jc w:val="both"/>
              <w:rPr>
                <w:rFonts w:ascii="Footlight MT Light" w:hAnsi="Footlight MT Light" w:cstheme="minorHAnsi"/>
                <w:sz w:val="24"/>
                <w:szCs w:val="24"/>
              </w:rPr>
            </w:pPr>
          </w:p>
          <w:p w14:paraId="79066875" w14:textId="77777777" w:rsidR="00B45106" w:rsidRPr="00E62EE8" w:rsidRDefault="00B45106" w:rsidP="00420A22">
            <w:pPr>
              <w:rPr>
                <w:rFonts w:ascii="Footlight MT Light" w:hAnsi="Footlight MT Light" w:cstheme="minorHAnsi"/>
                <w:sz w:val="24"/>
                <w:szCs w:val="24"/>
              </w:rPr>
            </w:pPr>
            <w:r w:rsidRPr="00E62EE8">
              <w:rPr>
                <w:rFonts w:ascii="Footlight MT Light" w:hAnsi="Footlight MT Light" w:cstheme="minorHAnsi"/>
                <w:sz w:val="24"/>
                <w:szCs w:val="24"/>
              </w:rPr>
              <w:t>- NEITI Secretariat to prompt NNPC to systematically disclose comprehensive details, including loan terms, repayment modalities, and interest rates, for all resource-backed, barter-type Quasi-Fiscal Expenditures (QFEs) it is engaged in.</w:t>
            </w:r>
          </w:p>
        </w:tc>
      </w:tr>
    </w:tbl>
    <w:p w14:paraId="56110392" w14:textId="77777777" w:rsidR="00B45106" w:rsidRPr="00E62EE8" w:rsidRDefault="00B45106" w:rsidP="00B45106">
      <w:pPr>
        <w:rPr>
          <w:rFonts w:ascii="Footlight MT Light" w:hAnsi="Footlight MT Light"/>
          <w:sz w:val="24"/>
          <w:szCs w:val="24"/>
        </w:rPr>
      </w:pPr>
    </w:p>
    <w:p w14:paraId="47CD60D1" w14:textId="77777777" w:rsidR="0044661A" w:rsidRDefault="0044661A"/>
    <w:sectPr w:rsidR="0044661A" w:rsidSect="0044661A">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3AF94" w14:textId="77777777" w:rsidR="00C745F2" w:rsidRDefault="00C745F2" w:rsidP="004E3DA9">
      <w:pPr>
        <w:spacing w:after="0" w:line="240" w:lineRule="auto"/>
      </w:pPr>
      <w:r>
        <w:separator/>
      </w:r>
    </w:p>
  </w:endnote>
  <w:endnote w:type="continuationSeparator" w:id="0">
    <w:p w14:paraId="5F785A49" w14:textId="77777777" w:rsidR="00C745F2" w:rsidRDefault="00C745F2" w:rsidP="004E3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538AC" w14:textId="77777777" w:rsidR="00C745F2" w:rsidRDefault="00C745F2" w:rsidP="004E3DA9">
      <w:pPr>
        <w:spacing w:after="0" w:line="240" w:lineRule="auto"/>
      </w:pPr>
      <w:r>
        <w:separator/>
      </w:r>
    </w:p>
  </w:footnote>
  <w:footnote w:type="continuationSeparator" w:id="0">
    <w:p w14:paraId="5E888123" w14:textId="77777777" w:rsidR="00C745F2" w:rsidRDefault="00C745F2" w:rsidP="004E3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33CD6" w14:textId="295428B8" w:rsidR="004E3DA9" w:rsidRDefault="004E3DA9">
    <w:pPr>
      <w:pStyle w:val="Header"/>
    </w:pPr>
    <w:r>
      <w:t>ACTION POINTS AND RECOMMENDATION</w:t>
    </w:r>
    <w:r w:rsidR="00DC3B64">
      <w:t>S</w:t>
    </w:r>
    <w:r>
      <w:t xml:space="preserve"> FROM NEITI OIL AND GAS 2023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1A"/>
    <w:rsid w:val="002C15CE"/>
    <w:rsid w:val="0044661A"/>
    <w:rsid w:val="004E3DA9"/>
    <w:rsid w:val="009D478E"/>
    <w:rsid w:val="00B45106"/>
    <w:rsid w:val="00C745F2"/>
    <w:rsid w:val="00DC3B64"/>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0BEEF"/>
  <w15:chartTrackingRefBased/>
  <w15:docId w15:val="{C01CCBFC-C84B-470C-8EE9-58B01897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10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61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3D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DA9"/>
    <w:rPr>
      <w:lang w:val="en-US"/>
    </w:rPr>
  </w:style>
  <w:style w:type="paragraph" w:styleId="Footer">
    <w:name w:val="footer"/>
    <w:basedOn w:val="Normal"/>
    <w:link w:val="FooterChar"/>
    <w:uiPriority w:val="99"/>
    <w:unhideWhenUsed/>
    <w:rsid w:val="004E3D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DA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Umar</dc:creator>
  <cp:keywords/>
  <dc:description/>
  <cp:lastModifiedBy>Adam Umar</cp:lastModifiedBy>
  <cp:revision>7</cp:revision>
  <dcterms:created xsi:type="dcterms:W3CDTF">2026-06-23T11:12:00Z</dcterms:created>
  <dcterms:modified xsi:type="dcterms:W3CDTF">2026-06-23T16:04:00Z</dcterms:modified>
</cp:coreProperties>
</file>